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8251"/>
      </w:tblGrid>
      <w:tr w:rsidR="00DA61D5" w:rsidRPr="004506DA" w14:paraId="109021F0" w14:textId="77777777" w:rsidTr="00B30C20">
        <w:trPr>
          <w:trHeight w:val="510"/>
        </w:trPr>
        <w:tc>
          <w:tcPr>
            <w:tcW w:w="21591" w:type="dxa"/>
            <w:gridSpan w:val="2"/>
            <w:tcBorders>
              <w:top w:val="nil"/>
              <w:left w:val="nil"/>
              <w:bottom w:val="nil"/>
              <w:right w:val="nil"/>
            </w:tcBorders>
            <w:noWrap/>
            <w:vAlign w:val="center"/>
            <w:hideMark/>
          </w:tcPr>
          <w:p w14:paraId="0D1598B5" w14:textId="147DB799" w:rsidR="00DA61D5" w:rsidRPr="004506DA" w:rsidRDefault="00B30C20" w:rsidP="008138C6">
            <w:pPr>
              <w:spacing w:after="0" w:line="240" w:lineRule="auto"/>
              <w:jc w:val="center"/>
              <w:rPr>
                <w:rFonts w:ascii="Times New Roman" w:eastAsia="Times New Roman" w:hAnsi="Times New Roman" w:cs="Times New Roman"/>
                <w:b/>
                <w:bCs/>
                <w:color w:val="FFFFFF"/>
                <w:sz w:val="28"/>
                <w:szCs w:val="28"/>
                <w:lang w:val="ro-RO"/>
              </w:rPr>
            </w:pPr>
            <w:r w:rsidRPr="004506DA">
              <w:rPr>
                <w:b/>
                <w:bCs/>
                <w:color w:val="0070C0"/>
                <w:lang w:val="ro-RO"/>
              </w:rPr>
              <w:t>Anexa</w:t>
            </w:r>
            <w:r w:rsidR="002C5ABE">
              <w:rPr>
                <w:b/>
                <w:bCs/>
                <w:color w:val="0070C0"/>
                <w:lang w:val="ro-RO"/>
              </w:rPr>
              <w:t xml:space="preserve"> nr. </w:t>
            </w:r>
            <w:r w:rsidRPr="004506DA">
              <w:rPr>
                <w:b/>
                <w:bCs/>
                <w:color w:val="0070C0"/>
                <w:lang w:val="ro-RO"/>
              </w:rPr>
              <w:t xml:space="preserve"> </w:t>
            </w:r>
            <w:r w:rsidR="00D86055">
              <w:rPr>
                <w:b/>
                <w:bCs/>
                <w:color w:val="0070C0"/>
                <w:lang w:val="ro-RO"/>
              </w:rPr>
              <w:t>4</w:t>
            </w:r>
            <w:r w:rsidRPr="004506DA">
              <w:rPr>
                <w:b/>
                <w:bCs/>
                <w:color w:val="0070C0"/>
                <w:lang w:val="ro-RO"/>
              </w:rPr>
              <w:t xml:space="preserve"> la Ghidul Solicitantului </w:t>
            </w:r>
            <w:r w:rsidR="002C5ABE" w:rsidRPr="002C5ABE">
              <w:rPr>
                <w:b/>
                <w:bCs/>
                <w:color w:val="0070C0"/>
                <w:lang w:val="ro-RO"/>
              </w:rPr>
              <w:t>aferent Programului Tranziție Justă 2021-2027, pentru acțiunea „Energie verde accesibilă și mobilitate nepoluantă”, componenta „Dezvoltarea surselor de energie regenerabilă  în perspectiva creării comunităților de energie”</w:t>
            </w:r>
          </w:p>
        </w:tc>
      </w:tr>
      <w:tr w:rsidR="00B30C20" w:rsidRPr="004506DA" w14:paraId="3B92F019" w14:textId="77777777" w:rsidTr="008138C6">
        <w:trPr>
          <w:trHeight w:val="510"/>
        </w:trPr>
        <w:tc>
          <w:tcPr>
            <w:tcW w:w="21591" w:type="dxa"/>
            <w:gridSpan w:val="2"/>
            <w:tcBorders>
              <w:top w:val="nil"/>
              <w:left w:val="nil"/>
              <w:bottom w:val="nil"/>
              <w:right w:val="nil"/>
            </w:tcBorders>
            <w:shd w:val="clear" w:color="1F497D" w:fill="305496"/>
            <w:noWrap/>
            <w:vAlign w:val="center"/>
          </w:tcPr>
          <w:p w14:paraId="7EDE91F9" w14:textId="37D75D19" w:rsidR="00B30C20" w:rsidRPr="004506DA" w:rsidRDefault="00B30C20" w:rsidP="008138C6">
            <w:pPr>
              <w:spacing w:after="0" w:line="240" w:lineRule="auto"/>
              <w:jc w:val="center"/>
              <w:rPr>
                <w:rFonts w:ascii="Times New Roman" w:eastAsia="Times New Roman" w:hAnsi="Times New Roman" w:cs="Times New Roman"/>
                <w:b/>
                <w:bCs/>
                <w:color w:val="FFFFFF"/>
                <w:sz w:val="28"/>
                <w:szCs w:val="28"/>
                <w:lang w:val="ro-RO"/>
              </w:rPr>
            </w:pPr>
            <w:r w:rsidRPr="004506DA">
              <w:rPr>
                <w:rFonts w:ascii="Times New Roman" w:eastAsia="Times New Roman" w:hAnsi="Times New Roman" w:cs="Times New Roman"/>
                <w:b/>
                <w:bCs/>
                <w:color w:val="FFFFFF"/>
                <w:sz w:val="28"/>
                <w:szCs w:val="28"/>
                <w:lang w:val="ro-RO"/>
              </w:rPr>
              <w:t>Listă auto-evaluare privind respectarea principiului „a nu prejudicia în mod semnificativ” (DNSH) obiectivele de mediu</w:t>
            </w:r>
          </w:p>
        </w:tc>
      </w:tr>
      <w:tr w:rsidR="00DA61D5" w:rsidRPr="004506DA"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4506DA" w:rsidRDefault="00DA61D5" w:rsidP="008138C6">
            <w:pPr>
              <w:spacing w:after="0" w:line="240" w:lineRule="auto"/>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 xml:space="preserve">Program: </w:t>
            </w:r>
          </w:p>
        </w:tc>
        <w:tc>
          <w:tcPr>
            <w:tcW w:w="18251" w:type="dxa"/>
            <w:tcBorders>
              <w:top w:val="nil"/>
              <w:left w:val="nil"/>
              <w:bottom w:val="single" w:sz="4" w:space="0" w:color="000000"/>
              <w:right w:val="nil"/>
            </w:tcBorders>
            <w:shd w:val="clear" w:color="70AD47" w:fill="C6E0B4"/>
            <w:noWrap/>
            <w:vAlign w:val="center"/>
            <w:hideMark/>
          </w:tcPr>
          <w:p w14:paraId="3C944212" w14:textId="68403E74" w:rsidR="00DA61D5" w:rsidRPr="004506DA" w:rsidRDefault="00D86055" w:rsidP="008138C6">
            <w:pPr>
              <w:spacing w:after="0" w:line="240" w:lineRule="auto"/>
              <w:rPr>
                <w:rFonts w:ascii="Times New Roman" w:eastAsia="Times New Roman" w:hAnsi="Times New Roman" w:cs="Times New Roman"/>
                <w:color w:val="000000"/>
                <w:sz w:val="24"/>
                <w:szCs w:val="24"/>
                <w:lang w:val="ro-RO"/>
              </w:rPr>
            </w:pPr>
            <w:r w:rsidRPr="00D86055">
              <w:rPr>
                <w:rFonts w:ascii="Times New Roman" w:eastAsia="Times New Roman" w:hAnsi="Times New Roman" w:cs="Times New Roman"/>
                <w:color w:val="000000"/>
                <w:sz w:val="24"/>
                <w:szCs w:val="24"/>
                <w:lang w:val="ro-RO"/>
              </w:rPr>
              <w:t>Programul de Tranziție Justă 2021-2027</w:t>
            </w:r>
          </w:p>
        </w:tc>
      </w:tr>
      <w:tr w:rsidR="00DA61D5" w:rsidRPr="004506DA"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4506DA" w:rsidRDefault="00DA61D5" w:rsidP="008138C6">
            <w:pPr>
              <w:spacing w:after="0" w:line="240" w:lineRule="auto"/>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 xml:space="preserve">Prioritatea: </w:t>
            </w:r>
          </w:p>
        </w:tc>
        <w:tc>
          <w:tcPr>
            <w:tcW w:w="18251" w:type="dxa"/>
            <w:tcBorders>
              <w:top w:val="single" w:sz="4" w:space="0" w:color="000000"/>
              <w:left w:val="nil"/>
              <w:bottom w:val="single" w:sz="4" w:space="0" w:color="000000"/>
              <w:right w:val="nil"/>
            </w:tcBorders>
            <w:shd w:val="clear" w:color="70AD47" w:fill="C6E0B4"/>
            <w:noWrap/>
            <w:vAlign w:val="center"/>
            <w:hideMark/>
          </w:tcPr>
          <w:p w14:paraId="4918DF47" w14:textId="77777777" w:rsidR="00DA61D5" w:rsidRPr="004506DA" w:rsidRDefault="00DA61D5" w:rsidP="008138C6">
            <w:pPr>
              <w:spacing w:after="0" w:line="240" w:lineRule="auto"/>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Atenuarea impactului socio-economic al tranziției la neutralitatea climatică</w:t>
            </w:r>
          </w:p>
        </w:tc>
      </w:tr>
      <w:tr w:rsidR="00DA61D5" w:rsidRPr="004506DA"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4506DA" w:rsidRDefault="00DA61D5" w:rsidP="008138C6">
            <w:pPr>
              <w:spacing w:after="0" w:line="240" w:lineRule="auto"/>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 xml:space="preserve">Obiectiv specific: </w:t>
            </w:r>
          </w:p>
        </w:tc>
        <w:tc>
          <w:tcPr>
            <w:tcW w:w="18251" w:type="dxa"/>
            <w:tcBorders>
              <w:top w:val="single" w:sz="4" w:space="0" w:color="000000"/>
              <w:left w:val="nil"/>
              <w:bottom w:val="single" w:sz="4" w:space="0" w:color="000000"/>
              <w:right w:val="nil"/>
            </w:tcBorders>
            <w:shd w:val="clear" w:color="70AD47" w:fill="C6E0B4"/>
            <w:vAlign w:val="center"/>
            <w:hideMark/>
          </w:tcPr>
          <w:p w14:paraId="32D9032A" w14:textId="159F8BFB" w:rsidR="00DA61D5" w:rsidRPr="004506DA" w:rsidRDefault="00D86055" w:rsidP="008138C6">
            <w:pPr>
              <w:spacing w:after="0" w:line="240" w:lineRule="auto"/>
              <w:rPr>
                <w:rFonts w:ascii="Times New Roman" w:eastAsia="Times New Roman" w:hAnsi="Times New Roman" w:cs="Times New Roman"/>
                <w:color w:val="000000"/>
                <w:sz w:val="24"/>
                <w:szCs w:val="24"/>
                <w:lang w:val="ro-RO"/>
              </w:rPr>
            </w:pPr>
            <w:r w:rsidRPr="00D86055">
              <w:rPr>
                <w:rFonts w:ascii="Times New Roman" w:eastAsia="Times New Roman" w:hAnsi="Times New Roman" w:cs="Times New Roman"/>
                <w:color w:val="000000"/>
                <w:sz w:val="24"/>
                <w:szCs w:val="24"/>
                <w:lang w:val="ro-RO"/>
              </w:rPr>
              <w:t xml:space="preserve">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tc>
      </w:tr>
      <w:tr w:rsidR="00DA61D5" w:rsidRPr="004506DA"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4506DA" w:rsidRDefault="00DA61D5" w:rsidP="008138C6">
            <w:pPr>
              <w:spacing w:after="0" w:line="240" w:lineRule="auto"/>
              <w:rPr>
                <w:rFonts w:ascii="Times New Roman" w:eastAsia="Times New Roman" w:hAnsi="Times New Roman" w:cs="Times New Roman"/>
                <w:b/>
                <w:bCs/>
                <w:color w:val="000000"/>
                <w:sz w:val="24"/>
                <w:szCs w:val="24"/>
                <w:lang w:val="ro-RO"/>
              </w:rPr>
            </w:pPr>
            <w:r w:rsidRPr="004506DA">
              <w:rPr>
                <w:rFonts w:ascii="Times New Roman" w:eastAsia="Times New Roman" w:hAnsi="Times New Roman" w:cs="Times New Roman"/>
                <w:b/>
                <w:bCs/>
                <w:color w:val="000000"/>
                <w:sz w:val="24"/>
                <w:szCs w:val="24"/>
                <w:lang w:val="ro-RO"/>
              </w:rPr>
              <w:t xml:space="preserve">Apel: </w:t>
            </w:r>
          </w:p>
        </w:tc>
        <w:tc>
          <w:tcPr>
            <w:tcW w:w="18251" w:type="dxa"/>
            <w:tcBorders>
              <w:top w:val="single" w:sz="4" w:space="0" w:color="000000"/>
              <w:left w:val="nil"/>
              <w:bottom w:val="single" w:sz="4" w:space="0" w:color="000000"/>
              <w:right w:val="nil"/>
            </w:tcBorders>
            <w:shd w:val="clear" w:color="70AD47" w:fill="C6E0B4"/>
            <w:vAlign w:val="center"/>
            <w:hideMark/>
          </w:tcPr>
          <w:p w14:paraId="181965EB" w14:textId="35E8C3C7" w:rsidR="00DA61D5" w:rsidRPr="004506DA" w:rsidRDefault="00B270AF" w:rsidP="008138C6">
            <w:pPr>
              <w:spacing w:after="0" w:line="240" w:lineRule="auto"/>
              <w:rPr>
                <w:rFonts w:ascii="Times New Roman" w:eastAsia="Times New Roman" w:hAnsi="Times New Roman" w:cs="Times New Roman"/>
                <w:b/>
                <w:bCs/>
                <w:color w:val="000000"/>
                <w:sz w:val="24"/>
                <w:szCs w:val="24"/>
                <w:lang w:val="ro-RO"/>
              </w:rPr>
            </w:pPr>
            <w:r w:rsidRPr="004506DA">
              <w:rPr>
                <w:rFonts w:ascii="Times New Roman" w:eastAsia="Times New Roman" w:hAnsi="Times New Roman" w:cs="Times New Roman"/>
                <w:b/>
                <w:bCs/>
                <w:color w:val="000000"/>
                <w:sz w:val="24"/>
                <w:szCs w:val="24"/>
                <w:lang w:val="ro-RO"/>
              </w:rPr>
              <w:t>Dezvoltarea surselor de energie regenerabilă  în perspectiva creării comunităților de energie</w:t>
            </w:r>
          </w:p>
        </w:tc>
      </w:tr>
      <w:tr w:rsidR="00DA61D5" w:rsidRPr="004506DA" w14:paraId="08EFFF8D" w14:textId="77777777" w:rsidTr="008138C6">
        <w:trPr>
          <w:trHeight w:val="503"/>
        </w:trPr>
        <w:tc>
          <w:tcPr>
            <w:tcW w:w="21591" w:type="dxa"/>
            <w:gridSpan w:val="2"/>
            <w:tcBorders>
              <w:top w:val="single" w:sz="4" w:space="0" w:color="auto"/>
              <w:left w:val="nil"/>
              <w:bottom w:val="nil"/>
              <w:right w:val="nil"/>
            </w:tcBorders>
            <w:vAlign w:val="center"/>
            <w:hideMark/>
          </w:tcPr>
          <w:p w14:paraId="433E0F5C" w14:textId="77777777" w:rsidR="002D05E0" w:rsidRDefault="002D05E0" w:rsidP="008138C6">
            <w:pPr>
              <w:spacing w:after="0" w:line="240" w:lineRule="auto"/>
              <w:jc w:val="both"/>
              <w:rPr>
                <w:rFonts w:ascii="Times New Roman" w:eastAsia="Calibri" w:hAnsi="Times New Roman" w:cs="Times New Roman"/>
                <w:b/>
                <w:bCs/>
                <w:i/>
                <w:color w:val="002060"/>
                <w:sz w:val="24"/>
                <w:szCs w:val="24"/>
                <w:lang w:val="ro-RO"/>
              </w:rPr>
            </w:pPr>
          </w:p>
          <w:p w14:paraId="6696861C" w14:textId="6DE69DBB" w:rsidR="00E922EF" w:rsidRPr="004506DA" w:rsidRDefault="004506DA" w:rsidP="008138C6">
            <w:pPr>
              <w:spacing w:after="0" w:line="240" w:lineRule="auto"/>
              <w:jc w:val="both"/>
              <w:rPr>
                <w:rFonts w:ascii="Times New Roman" w:eastAsia="Times New Roman" w:hAnsi="Times New Roman" w:cs="Times New Roman"/>
                <w:color w:val="002060"/>
                <w:sz w:val="24"/>
                <w:szCs w:val="24"/>
                <w:lang w:val="ro-RO"/>
              </w:rPr>
            </w:pPr>
            <w:r w:rsidRPr="004506DA">
              <w:rPr>
                <w:rFonts w:ascii="Times New Roman" w:eastAsia="Calibri" w:hAnsi="Times New Roman" w:cs="Times New Roman"/>
                <w:b/>
                <w:bCs/>
                <w:i/>
                <w:color w:val="002060"/>
                <w:sz w:val="24"/>
                <w:szCs w:val="24"/>
                <w:lang w:val="ro-RO"/>
              </w:rPr>
              <w:t>A se completa de către solicitant conform specificului proiectului:</w:t>
            </w:r>
          </w:p>
          <w:p w14:paraId="3D83CB74" w14:textId="77777777" w:rsidR="005072CF" w:rsidRDefault="005072CF" w:rsidP="00E33BDC">
            <w:pPr>
              <w:spacing w:after="0" w:line="240" w:lineRule="auto"/>
              <w:jc w:val="both"/>
              <w:rPr>
                <w:rFonts w:ascii="Times New Roman" w:eastAsia="Times New Roman" w:hAnsi="Times New Roman" w:cs="Times New Roman"/>
                <w:color w:val="000000"/>
                <w:sz w:val="24"/>
                <w:szCs w:val="24"/>
                <w:lang w:val="ro-RO"/>
              </w:rPr>
            </w:pPr>
          </w:p>
          <w:p w14:paraId="7F65828A" w14:textId="77777777" w:rsidR="005072CF" w:rsidRPr="005072CF" w:rsidRDefault="005072CF" w:rsidP="005072CF">
            <w:pPr>
              <w:spacing w:after="0" w:line="240" w:lineRule="auto"/>
              <w:jc w:val="both"/>
              <w:rPr>
                <w:rFonts w:ascii="Times New Roman" w:eastAsia="Times New Roman" w:hAnsi="Times New Roman" w:cs="Times New Roman"/>
                <w:color w:val="000000"/>
                <w:sz w:val="24"/>
                <w:szCs w:val="24"/>
                <w:u w:val="single"/>
                <w:lang w:val="ro-RO"/>
              </w:rPr>
            </w:pPr>
            <w:r w:rsidRPr="005072CF">
              <w:rPr>
                <w:rFonts w:ascii="Times New Roman" w:eastAsia="Times New Roman" w:hAnsi="Times New Roman" w:cs="Times New Roman"/>
                <w:color w:val="000000"/>
                <w:sz w:val="24"/>
                <w:szCs w:val="24"/>
                <w:u w:val="single"/>
                <w:lang w:val="ro-RO"/>
              </w:rPr>
              <w:t>DESCRIEREA PE SCURT A PROIECTULUI</w:t>
            </w:r>
          </w:p>
          <w:p w14:paraId="744DE9C2" w14:textId="77777777" w:rsidR="005072CF" w:rsidRPr="005072CF" w:rsidRDefault="005072CF" w:rsidP="005072CF">
            <w:pPr>
              <w:spacing w:after="0" w:line="240" w:lineRule="auto"/>
              <w:jc w:val="both"/>
              <w:rPr>
                <w:rFonts w:ascii="Times New Roman" w:eastAsia="Times New Roman" w:hAnsi="Times New Roman" w:cs="Times New Roman"/>
                <w:color w:val="000000"/>
                <w:sz w:val="24"/>
                <w:szCs w:val="24"/>
                <w:lang w:val="ro-RO"/>
              </w:rPr>
            </w:pPr>
          </w:p>
          <w:p w14:paraId="1B519CDD" w14:textId="6FE3EA28" w:rsidR="005072CF" w:rsidRDefault="005072CF" w:rsidP="005072CF">
            <w:pPr>
              <w:spacing w:after="0" w:line="240" w:lineRule="auto"/>
              <w:jc w:val="both"/>
              <w:rPr>
                <w:rFonts w:ascii="Times New Roman" w:eastAsia="Times New Roman" w:hAnsi="Times New Roman" w:cs="Times New Roman"/>
                <w:color w:val="000000"/>
                <w:sz w:val="24"/>
                <w:szCs w:val="24"/>
                <w:lang w:val="ro-RO"/>
              </w:rPr>
            </w:pPr>
            <w:r w:rsidRPr="005072CF">
              <w:rPr>
                <w:rFonts w:ascii="Times New Roman" w:eastAsia="Times New Roman" w:hAnsi="Times New Roman" w:cs="Times New Roman"/>
                <w:color w:val="000000"/>
                <w:sz w:val="24"/>
                <w:szCs w:val="24"/>
                <w:lang w:val="ro-RO"/>
              </w:rPr>
              <w:t xml:space="preserve">ELEMENTE GENERALE </w:t>
            </w:r>
          </w:p>
          <w:p w14:paraId="5D04CD95" w14:textId="404C7E22" w:rsidR="009530F8" w:rsidRPr="009530F8" w:rsidRDefault="00E62A4D" w:rsidP="00E62A4D">
            <w:pPr>
              <w:spacing w:after="0" w:line="240" w:lineRule="auto"/>
              <w:jc w:val="both"/>
              <w:rPr>
                <w:rFonts w:ascii="Times New Roman" w:eastAsia="Times New Roman" w:hAnsi="Times New Roman" w:cs="Times New Roman"/>
                <w:color w:val="000000"/>
                <w:sz w:val="24"/>
                <w:szCs w:val="24"/>
                <w:lang w:val="ro-RO"/>
              </w:rPr>
            </w:pPr>
            <w:r w:rsidRPr="00E62A4D">
              <w:rPr>
                <w:rFonts w:ascii="Times New Roman" w:eastAsia="Times New Roman" w:hAnsi="Times New Roman" w:cs="Times New Roman"/>
                <w:color w:val="000000"/>
                <w:sz w:val="24"/>
                <w:szCs w:val="24"/>
                <w:lang w:val="ro-RO"/>
              </w:rPr>
              <w:t xml:space="preserve">Prin </w:t>
            </w:r>
            <w:r>
              <w:rPr>
                <w:rFonts w:ascii="Times New Roman" w:eastAsia="Times New Roman" w:hAnsi="Times New Roman" w:cs="Times New Roman"/>
                <w:color w:val="000000"/>
                <w:sz w:val="24"/>
                <w:szCs w:val="24"/>
                <w:lang w:val="ro-RO"/>
              </w:rPr>
              <w:t>proiect</w:t>
            </w:r>
            <w:r w:rsidRPr="00E62A4D">
              <w:rPr>
                <w:rFonts w:ascii="Times New Roman" w:eastAsia="Times New Roman" w:hAnsi="Times New Roman" w:cs="Times New Roman"/>
                <w:color w:val="000000"/>
                <w:sz w:val="24"/>
                <w:szCs w:val="24"/>
                <w:lang w:val="ro-RO"/>
              </w:rPr>
              <w:t xml:space="preserve"> se asigură preluarea principiului DNSH în cadrul procesului de elaborare a documentațiilor tehnico-economice</w:t>
            </w:r>
            <w:r>
              <w:rPr>
                <w:rFonts w:ascii="Times New Roman" w:eastAsia="Times New Roman" w:hAnsi="Times New Roman" w:cs="Times New Roman"/>
                <w:color w:val="000000"/>
                <w:sz w:val="24"/>
                <w:szCs w:val="24"/>
                <w:lang w:val="ro-RO"/>
              </w:rPr>
              <w:t xml:space="preserve"> în vederea</w:t>
            </w:r>
            <w:r w:rsidRPr="00E62A4D">
              <w:rPr>
                <w:rFonts w:ascii="Times New Roman" w:eastAsia="Times New Roman" w:hAnsi="Times New Roman" w:cs="Times New Roman"/>
                <w:color w:val="000000"/>
                <w:sz w:val="24"/>
                <w:szCs w:val="24"/>
                <w:lang w:val="ro-RO"/>
              </w:rPr>
              <w:t xml:space="preserve"> asigurării caracterului durabil al investiției.</w:t>
            </w:r>
            <w:r w:rsidR="009530F8">
              <w:rPr>
                <w:rFonts w:ascii="Times New Roman" w:eastAsia="Times New Roman" w:hAnsi="Times New Roman" w:cs="Times New Roman"/>
                <w:color w:val="000000"/>
                <w:sz w:val="24"/>
                <w:szCs w:val="24"/>
                <w:lang w:val="ro-RO"/>
              </w:rPr>
              <w:t xml:space="preserve"> </w:t>
            </w:r>
            <w:r w:rsidRPr="009530F8">
              <w:rPr>
                <w:rFonts w:ascii="Times New Roman" w:eastAsia="Times New Roman" w:hAnsi="Times New Roman" w:cs="Times New Roman"/>
                <w:color w:val="000000"/>
                <w:sz w:val="24"/>
                <w:szCs w:val="24"/>
                <w:lang w:val="ro-RO"/>
              </w:rPr>
              <w:t>Procedura</w:t>
            </w:r>
            <w:r w:rsidR="009530F8">
              <w:rPr>
                <w:rFonts w:ascii="Times New Roman" w:eastAsia="Times New Roman" w:hAnsi="Times New Roman" w:cs="Times New Roman"/>
                <w:color w:val="000000"/>
                <w:sz w:val="24"/>
                <w:szCs w:val="24"/>
                <w:lang w:val="ro-RO"/>
              </w:rPr>
              <w:t xml:space="preserve"> de</w:t>
            </w:r>
            <w:r w:rsidRPr="009530F8">
              <w:rPr>
                <w:rFonts w:ascii="Times New Roman" w:eastAsia="Times New Roman" w:hAnsi="Times New Roman" w:cs="Times New Roman"/>
                <w:color w:val="000000"/>
                <w:sz w:val="24"/>
                <w:szCs w:val="24"/>
                <w:lang w:val="ro-RO"/>
              </w:rPr>
              <w:t xml:space="preserve"> Evalu</w:t>
            </w:r>
            <w:r w:rsidR="009530F8">
              <w:rPr>
                <w:rFonts w:ascii="Times New Roman" w:eastAsia="Times New Roman" w:hAnsi="Times New Roman" w:cs="Times New Roman"/>
                <w:color w:val="000000"/>
                <w:sz w:val="24"/>
                <w:szCs w:val="24"/>
                <w:lang w:val="ro-RO"/>
              </w:rPr>
              <w:t>are a</w:t>
            </w:r>
            <w:r w:rsidRPr="009530F8">
              <w:rPr>
                <w:rFonts w:ascii="Times New Roman" w:eastAsia="Times New Roman" w:hAnsi="Times New Roman" w:cs="Times New Roman"/>
                <w:color w:val="000000"/>
                <w:sz w:val="24"/>
                <w:szCs w:val="24"/>
                <w:lang w:val="ro-RO"/>
              </w:rPr>
              <w:t xml:space="preserve"> Impactului asupra Mediului </w:t>
            </w:r>
            <w:r w:rsidR="009530F8" w:rsidRPr="009530F8">
              <w:rPr>
                <w:rFonts w:ascii="Times New Roman" w:eastAsia="Times New Roman" w:hAnsi="Times New Roman" w:cs="Times New Roman"/>
                <w:color w:val="000000"/>
                <w:sz w:val="24"/>
                <w:szCs w:val="24"/>
                <w:lang w:val="ro-RO"/>
              </w:rPr>
              <w:t xml:space="preserve">integrează </w:t>
            </w:r>
            <w:r w:rsidR="009530F8">
              <w:rPr>
                <w:rFonts w:ascii="Times New Roman" w:eastAsia="Times New Roman" w:hAnsi="Times New Roman" w:cs="Times New Roman"/>
                <w:color w:val="000000"/>
                <w:sz w:val="24"/>
                <w:szCs w:val="24"/>
                <w:lang w:val="ro-RO"/>
              </w:rPr>
              <w:t xml:space="preserve">aspctele privind </w:t>
            </w:r>
            <w:r w:rsidR="009530F8" w:rsidRPr="009530F8">
              <w:rPr>
                <w:rFonts w:ascii="Times New Roman" w:eastAsia="Times New Roman" w:hAnsi="Times New Roman" w:cs="Times New Roman"/>
                <w:color w:val="000000"/>
                <w:sz w:val="24"/>
                <w:szCs w:val="24"/>
                <w:lang w:val="ro-RO"/>
              </w:rPr>
              <w:t>conformit</w:t>
            </w:r>
            <w:r w:rsidR="009530F8">
              <w:rPr>
                <w:rFonts w:ascii="Times New Roman" w:eastAsia="Times New Roman" w:hAnsi="Times New Roman" w:cs="Times New Roman"/>
                <w:color w:val="000000"/>
                <w:sz w:val="24"/>
                <w:szCs w:val="24"/>
                <w:lang w:val="ro-RO"/>
              </w:rPr>
              <w:t>atea</w:t>
            </w:r>
            <w:r w:rsidR="009530F8" w:rsidRPr="009530F8">
              <w:rPr>
                <w:rFonts w:ascii="Times New Roman" w:eastAsia="Times New Roman" w:hAnsi="Times New Roman" w:cs="Times New Roman"/>
                <w:color w:val="000000"/>
                <w:sz w:val="24"/>
                <w:szCs w:val="24"/>
                <w:lang w:val="ro-RO"/>
              </w:rPr>
              <w:t>proiectului cu principiul DNSH</w:t>
            </w:r>
            <w:r w:rsidR="009530F8">
              <w:rPr>
                <w:rFonts w:ascii="Times New Roman" w:eastAsia="Times New Roman" w:hAnsi="Times New Roman" w:cs="Times New Roman"/>
                <w:color w:val="000000"/>
                <w:sz w:val="24"/>
                <w:szCs w:val="24"/>
                <w:lang w:val="ro-RO"/>
              </w:rPr>
              <w:t>.</w:t>
            </w:r>
          </w:p>
          <w:p w14:paraId="37944074" w14:textId="77777777" w:rsidR="009530F8" w:rsidRDefault="009530F8" w:rsidP="00E62A4D">
            <w:pPr>
              <w:spacing w:after="0" w:line="240" w:lineRule="auto"/>
              <w:jc w:val="both"/>
              <w:rPr>
                <w:rFonts w:ascii="Times New Roman" w:eastAsia="Times New Roman" w:hAnsi="Times New Roman" w:cs="Times New Roman"/>
                <w:color w:val="000000"/>
                <w:sz w:val="24"/>
                <w:szCs w:val="24"/>
                <w:highlight w:val="yellow"/>
                <w:lang w:val="ro-RO"/>
              </w:rPr>
            </w:pPr>
          </w:p>
          <w:p w14:paraId="5F9D2597" w14:textId="60F11222" w:rsidR="00E33BDC" w:rsidRPr="004506DA" w:rsidRDefault="004506DA" w:rsidP="005072CF">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A</w:t>
            </w:r>
            <w:r w:rsidR="00E33BDC" w:rsidRPr="004506DA">
              <w:rPr>
                <w:rFonts w:ascii="Times New Roman" w:eastAsia="Times New Roman" w:hAnsi="Times New Roman" w:cs="Times New Roman"/>
                <w:color w:val="000000"/>
                <w:sz w:val="24"/>
                <w:szCs w:val="24"/>
                <w:lang w:val="ro-RO"/>
              </w:rPr>
              <w:t xml:space="preserve">cțiunile </w:t>
            </w:r>
            <w:r w:rsidRPr="004506DA">
              <w:rPr>
                <w:rFonts w:ascii="Times New Roman" w:eastAsia="Times New Roman" w:hAnsi="Times New Roman" w:cs="Times New Roman"/>
                <w:color w:val="000000"/>
                <w:sz w:val="24"/>
                <w:szCs w:val="24"/>
                <w:lang w:val="ro-RO"/>
              </w:rPr>
              <w:t xml:space="preserve">aferente </w:t>
            </w:r>
            <w:r>
              <w:rPr>
                <w:rFonts w:ascii="Times New Roman" w:eastAsia="Times New Roman" w:hAnsi="Times New Roman" w:cs="Times New Roman"/>
                <w:color w:val="000000"/>
                <w:sz w:val="24"/>
                <w:szCs w:val="24"/>
                <w:lang w:val="ro-RO"/>
              </w:rPr>
              <w:t xml:space="preserve">proiectului </w:t>
            </w:r>
            <w:r w:rsidRPr="004506DA">
              <w:rPr>
                <w:rFonts w:ascii="Times New Roman" w:eastAsia="Times New Roman" w:hAnsi="Times New Roman" w:cs="Times New Roman"/>
                <w:color w:val="000000"/>
                <w:sz w:val="24"/>
                <w:szCs w:val="24"/>
                <w:lang w:val="ro-RO"/>
              </w:rPr>
              <w:t>din</w:t>
            </w:r>
            <w:r w:rsidR="00E33BDC" w:rsidRPr="004506DA">
              <w:rPr>
                <w:rFonts w:ascii="Times New Roman" w:eastAsia="Times New Roman" w:hAnsi="Times New Roman" w:cs="Times New Roman"/>
                <w:color w:val="000000"/>
                <w:sz w:val="24"/>
                <w:szCs w:val="24"/>
                <w:lang w:val="ro-RO"/>
              </w:rPr>
              <w:t xml:space="preserve"> cadrul apelului sunt</w:t>
            </w:r>
            <w:r w:rsidRPr="004506DA">
              <w:rPr>
                <w:rFonts w:ascii="Times New Roman" w:eastAsia="Times New Roman" w:hAnsi="Times New Roman" w:cs="Times New Roman"/>
                <w:color w:val="000000"/>
                <w:sz w:val="24"/>
                <w:szCs w:val="24"/>
                <w:lang w:val="ro-RO"/>
              </w:rPr>
              <w:t>:</w:t>
            </w:r>
            <w:r w:rsidR="00E33BDC" w:rsidRPr="004506DA">
              <w:rPr>
                <w:rFonts w:ascii="Times New Roman" w:eastAsia="Times New Roman" w:hAnsi="Times New Roman" w:cs="Times New Roman"/>
                <w:color w:val="000000"/>
                <w:sz w:val="24"/>
                <w:szCs w:val="24"/>
                <w:lang w:val="ro-RO"/>
              </w:rPr>
              <w:t xml:space="preserve"> </w:t>
            </w:r>
          </w:p>
          <w:p w14:paraId="2AB7F7AF" w14:textId="0F208B11" w:rsidR="00E33BDC" w:rsidRPr="004506DA" w:rsidRDefault="004506DA" w:rsidP="00E33BDC">
            <w:pPr>
              <w:spacing w:after="0" w:line="240" w:lineRule="auto"/>
              <w:jc w:val="both"/>
              <w:rPr>
                <w:rFonts w:ascii="Times New Roman" w:eastAsia="Times New Roman" w:hAnsi="Times New Roman" w:cs="Times New Roman"/>
                <w:color w:val="002060"/>
                <w:sz w:val="24"/>
                <w:szCs w:val="24"/>
                <w:lang w:val="ro-RO"/>
              </w:rPr>
            </w:pPr>
            <w:r w:rsidRPr="004506DA">
              <w:rPr>
                <w:rFonts w:ascii="Times New Roman" w:eastAsia="Times New Roman" w:hAnsi="Times New Roman" w:cs="Times New Roman"/>
                <w:color w:val="002060"/>
                <w:sz w:val="24"/>
                <w:szCs w:val="24"/>
                <w:lang w:val="ro-RO"/>
              </w:rPr>
              <w:t>- realizarea capacităţilor de producere energie electrică sau termică din SRE, cu excepția biomasei, pentru consum propriu</w:t>
            </w:r>
            <w:r>
              <w:rPr>
                <w:rFonts w:ascii="Times New Roman" w:eastAsia="Times New Roman" w:hAnsi="Times New Roman" w:cs="Times New Roman"/>
                <w:color w:val="002060"/>
                <w:sz w:val="24"/>
                <w:szCs w:val="24"/>
                <w:lang w:val="ro-RO"/>
              </w:rPr>
              <w:t>;</w:t>
            </w:r>
            <w:r w:rsidRPr="004506DA">
              <w:rPr>
                <w:rFonts w:ascii="Times New Roman" w:eastAsia="Times New Roman" w:hAnsi="Times New Roman" w:cs="Times New Roman"/>
                <w:color w:val="002060"/>
                <w:sz w:val="24"/>
                <w:szCs w:val="24"/>
                <w:lang w:val="ro-RO"/>
              </w:rPr>
              <w:t xml:space="preserve"> </w:t>
            </w:r>
          </w:p>
          <w:p w14:paraId="6EA5C8A4" w14:textId="762C6B36" w:rsidR="00E33BDC" w:rsidRPr="004506DA" w:rsidRDefault="004506DA" w:rsidP="00E33BDC">
            <w:pPr>
              <w:spacing w:after="0" w:line="240" w:lineRule="auto"/>
              <w:jc w:val="both"/>
              <w:rPr>
                <w:rFonts w:ascii="Times New Roman" w:eastAsia="Times New Roman" w:hAnsi="Times New Roman" w:cs="Times New Roman"/>
                <w:color w:val="002060"/>
                <w:sz w:val="24"/>
                <w:szCs w:val="24"/>
                <w:lang w:val="ro-RO"/>
              </w:rPr>
            </w:pPr>
            <w:r w:rsidRPr="004506DA">
              <w:rPr>
                <w:rFonts w:ascii="Times New Roman" w:eastAsia="Times New Roman" w:hAnsi="Times New Roman" w:cs="Times New Roman"/>
                <w:color w:val="002060"/>
                <w:sz w:val="24"/>
                <w:szCs w:val="24"/>
                <w:lang w:val="ro-RO"/>
              </w:rPr>
              <w:t>- realizarea capacităţilor de producere energie electrică şi termică în cogenerare de  înaltă eficiență din surse regenerabile de energie (</w:t>
            </w:r>
            <w:r w:rsidR="005072CF" w:rsidRPr="004506DA">
              <w:rPr>
                <w:rFonts w:ascii="Times New Roman" w:eastAsia="Times New Roman" w:hAnsi="Times New Roman" w:cs="Times New Roman"/>
                <w:color w:val="002060"/>
                <w:sz w:val="24"/>
                <w:szCs w:val="24"/>
                <w:lang w:val="ro-RO"/>
              </w:rPr>
              <w:t>SRE</w:t>
            </w:r>
            <w:r w:rsidRPr="004506DA">
              <w:rPr>
                <w:rFonts w:ascii="Times New Roman" w:eastAsia="Times New Roman" w:hAnsi="Times New Roman" w:cs="Times New Roman"/>
                <w:color w:val="002060"/>
                <w:sz w:val="24"/>
                <w:szCs w:val="24"/>
                <w:lang w:val="ro-RO"/>
              </w:rPr>
              <w:t>), cu excepția biomasei, pentru consum propriu</w:t>
            </w:r>
            <w:r>
              <w:rPr>
                <w:rFonts w:ascii="Times New Roman" w:eastAsia="Times New Roman" w:hAnsi="Times New Roman" w:cs="Times New Roman"/>
                <w:color w:val="002060"/>
                <w:sz w:val="24"/>
                <w:szCs w:val="24"/>
                <w:lang w:val="ro-RO"/>
              </w:rPr>
              <w:t>;</w:t>
            </w:r>
            <w:r w:rsidRPr="004506DA">
              <w:rPr>
                <w:rFonts w:ascii="Times New Roman" w:eastAsia="Times New Roman" w:hAnsi="Times New Roman" w:cs="Times New Roman"/>
                <w:color w:val="002060"/>
                <w:sz w:val="24"/>
                <w:szCs w:val="24"/>
                <w:lang w:val="ro-RO"/>
              </w:rPr>
              <w:t xml:space="preserve"> </w:t>
            </w:r>
          </w:p>
          <w:p w14:paraId="37BEA28B" w14:textId="45C0E942" w:rsidR="00E33BDC" w:rsidRPr="004506DA" w:rsidRDefault="004506DA" w:rsidP="00E33BDC">
            <w:pPr>
              <w:spacing w:after="0" w:line="240" w:lineRule="auto"/>
              <w:jc w:val="both"/>
              <w:rPr>
                <w:rFonts w:ascii="Times New Roman" w:eastAsia="Times New Roman" w:hAnsi="Times New Roman" w:cs="Times New Roman"/>
                <w:color w:val="002060"/>
                <w:sz w:val="24"/>
                <w:szCs w:val="24"/>
                <w:lang w:val="ro-RO"/>
              </w:rPr>
            </w:pPr>
            <w:r w:rsidRPr="004506DA">
              <w:rPr>
                <w:rFonts w:ascii="Times New Roman" w:eastAsia="Times New Roman" w:hAnsi="Times New Roman" w:cs="Times New Roman"/>
                <w:color w:val="002060"/>
                <w:sz w:val="24"/>
                <w:szCs w:val="24"/>
                <w:lang w:val="ro-RO"/>
              </w:rPr>
              <w:t xml:space="preserve">- realizarea </w:t>
            </w:r>
            <w:r w:rsidR="00E33BDC" w:rsidRPr="004506DA">
              <w:rPr>
                <w:rFonts w:ascii="Times New Roman" w:eastAsia="Times New Roman" w:hAnsi="Times New Roman" w:cs="Times New Roman"/>
                <w:color w:val="002060"/>
                <w:sz w:val="24"/>
                <w:szCs w:val="24"/>
                <w:lang w:val="ro-RO"/>
              </w:rPr>
              <w:t>capacităților de stocare.</w:t>
            </w:r>
          </w:p>
          <w:p w14:paraId="3B2A5D6F" w14:textId="04210254" w:rsidR="004506DA" w:rsidRPr="004506DA" w:rsidRDefault="004506DA" w:rsidP="004506DA">
            <w:pPr>
              <w:spacing w:after="0" w:line="240" w:lineRule="auto"/>
              <w:jc w:val="both"/>
              <w:rPr>
                <w:rFonts w:ascii="Times New Roman" w:eastAsia="Times New Roman" w:hAnsi="Times New Roman" w:cs="Times New Roman"/>
                <w:color w:val="002060"/>
                <w:sz w:val="24"/>
                <w:szCs w:val="24"/>
                <w:lang w:val="ro-RO"/>
              </w:rPr>
            </w:pPr>
            <w:r w:rsidRPr="004506DA">
              <w:rPr>
                <w:rFonts w:ascii="Times New Roman" w:eastAsia="Times New Roman" w:hAnsi="Times New Roman" w:cs="Times New Roman"/>
                <w:color w:val="000000"/>
                <w:sz w:val="24"/>
                <w:szCs w:val="24"/>
                <w:lang w:val="ro-RO"/>
              </w:rPr>
              <w:t xml:space="preserve">În cadrul acestui </w:t>
            </w:r>
            <w:r>
              <w:rPr>
                <w:rFonts w:ascii="Times New Roman" w:eastAsia="Times New Roman" w:hAnsi="Times New Roman" w:cs="Times New Roman"/>
                <w:color w:val="000000"/>
                <w:sz w:val="24"/>
                <w:szCs w:val="24"/>
                <w:lang w:val="ro-RO"/>
              </w:rPr>
              <w:t>proiect</w:t>
            </w:r>
            <w:r w:rsidRPr="004506DA">
              <w:rPr>
                <w:rFonts w:ascii="Times New Roman" w:eastAsia="Times New Roman" w:hAnsi="Times New Roman" w:cs="Times New Roman"/>
                <w:color w:val="000000"/>
                <w:sz w:val="24"/>
                <w:szCs w:val="24"/>
                <w:lang w:val="ro-RO"/>
              </w:rPr>
              <w:t xml:space="preserve"> se are în vedere</w:t>
            </w:r>
            <w:r>
              <w:rPr>
                <w:rFonts w:ascii="Times New Roman" w:eastAsia="Times New Roman" w:hAnsi="Times New Roman" w:cs="Times New Roman"/>
                <w:color w:val="000000"/>
                <w:sz w:val="24"/>
                <w:szCs w:val="24"/>
                <w:lang w:val="ro-RO"/>
              </w:rPr>
              <w:t>:</w:t>
            </w:r>
            <w:r w:rsidRPr="004506DA">
              <w:rPr>
                <w:rFonts w:ascii="Times New Roman" w:eastAsia="Times New Roman" w:hAnsi="Times New Roman" w:cs="Times New Roman"/>
                <w:color w:val="000000"/>
                <w:sz w:val="24"/>
                <w:szCs w:val="24"/>
                <w:lang w:val="ro-RO"/>
              </w:rPr>
              <w:t xml:space="preserve"> </w:t>
            </w:r>
            <w:r w:rsidRPr="004506DA">
              <w:rPr>
                <w:rFonts w:ascii="Times New Roman" w:eastAsia="Times New Roman" w:hAnsi="Times New Roman" w:cs="Times New Roman"/>
                <w:color w:val="002060"/>
                <w:sz w:val="24"/>
                <w:szCs w:val="24"/>
                <w:lang w:val="ro-RO"/>
              </w:rPr>
              <w:t>dezvoltarea de capacități de mici dimensiuni de producție, transport și stocare de energie regenerabilă (fotovoltaică, eoliană, alte SRE - biogaz, geotermal, inclusiv pompe de căldură precum și fracția de rețea/racord integrată care să conecteze, după caz, capacitățile de producție sau stocare la sistemul SEN/</w:t>
            </w:r>
            <w:r>
              <w:rPr>
                <w:rFonts w:ascii="Times New Roman" w:eastAsia="Times New Roman" w:hAnsi="Times New Roman" w:cs="Times New Roman"/>
                <w:color w:val="002060"/>
                <w:sz w:val="24"/>
                <w:szCs w:val="24"/>
                <w:lang w:val="ro-RO"/>
              </w:rPr>
              <w:t xml:space="preserve"> </w:t>
            </w:r>
            <w:r w:rsidRPr="004506DA">
              <w:rPr>
                <w:rFonts w:ascii="Times New Roman" w:eastAsia="Times New Roman" w:hAnsi="Times New Roman" w:cs="Times New Roman"/>
                <w:color w:val="002060"/>
                <w:sz w:val="24"/>
                <w:szCs w:val="24"/>
                <w:lang w:val="ro-RO"/>
              </w:rPr>
              <w:t xml:space="preserve">locul de consum, în limita distanței dintre locul de producție și punctul de consum sau stocare) necesară clădirilor publice în care funcționează școli, spitale, cămine pentru persoane vârstnice, creșe, servicii sociale, centre de formare profesională și alte clădiri publice cu rol similar. </w:t>
            </w:r>
          </w:p>
          <w:p w14:paraId="2603D65D" w14:textId="14D6D681" w:rsidR="004506DA" w:rsidRPr="002D05E0" w:rsidRDefault="004506DA" w:rsidP="004506DA">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Se finanțează gospodării individuale, în situația în care unitatea administrativ-teritorială (UAT) identifică gospodării individuale care își exprimă interesul pentru instalarea de capacități de producție de energie electrică și/sau termică din sursele regenerabile fotovoltaic și fototermic/pompe de căldură în perspectiva în care acestea vor face parte din viitoarea comunitate de energie, în baza Listei de angajament.</w:t>
            </w:r>
          </w:p>
          <w:p w14:paraId="70814B26" w14:textId="77777777" w:rsidR="005072CF" w:rsidRPr="002D05E0" w:rsidRDefault="005072CF" w:rsidP="005072CF">
            <w:pPr>
              <w:spacing w:after="0" w:line="240" w:lineRule="auto"/>
              <w:jc w:val="both"/>
              <w:rPr>
                <w:rFonts w:ascii="Times New Roman" w:eastAsia="Times New Roman" w:hAnsi="Times New Roman" w:cs="Times New Roman"/>
                <w:sz w:val="24"/>
                <w:szCs w:val="24"/>
                <w:lang w:val="ro-RO"/>
              </w:rPr>
            </w:pPr>
          </w:p>
          <w:p w14:paraId="5EFA94AD" w14:textId="159B01B6" w:rsidR="005072CF" w:rsidRPr="005072CF" w:rsidRDefault="005072CF" w:rsidP="005072CF">
            <w:pPr>
              <w:spacing w:after="0" w:line="240" w:lineRule="auto"/>
              <w:jc w:val="both"/>
              <w:rPr>
                <w:rFonts w:ascii="Times New Roman" w:eastAsia="Times New Roman" w:hAnsi="Times New Roman" w:cs="Times New Roman"/>
                <w:color w:val="000000"/>
                <w:sz w:val="24"/>
                <w:szCs w:val="24"/>
                <w:lang w:val="ro-RO"/>
              </w:rPr>
            </w:pPr>
            <w:r w:rsidRPr="005072CF">
              <w:rPr>
                <w:rFonts w:ascii="Times New Roman" w:eastAsia="Times New Roman" w:hAnsi="Times New Roman" w:cs="Times New Roman"/>
                <w:color w:val="000000"/>
                <w:sz w:val="24"/>
                <w:szCs w:val="24"/>
                <w:lang w:val="ro-RO"/>
              </w:rPr>
              <w:t>ELEMENTE SPECIFICE</w:t>
            </w:r>
          </w:p>
          <w:p w14:paraId="2C584BF5" w14:textId="77777777" w:rsidR="005072CF" w:rsidRDefault="005072CF" w:rsidP="005072CF">
            <w:pPr>
              <w:spacing w:after="0" w:line="240" w:lineRule="auto"/>
              <w:jc w:val="both"/>
              <w:rPr>
                <w:rFonts w:ascii="Times New Roman" w:eastAsia="Times New Roman" w:hAnsi="Times New Roman" w:cs="Times New Roman"/>
                <w:color w:val="000000"/>
                <w:sz w:val="24"/>
                <w:szCs w:val="24"/>
                <w:lang w:val="ro-RO"/>
              </w:rPr>
            </w:pPr>
          </w:p>
          <w:p w14:paraId="081A4033" w14:textId="5E9AE62A" w:rsidR="005072CF" w:rsidRPr="002D05E0" w:rsidRDefault="005072CF" w:rsidP="005072CF">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Activități</w:t>
            </w:r>
            <w:r w:rsidR="002D05E0" w:rsidRPr="002D05E0">
              <w:rPr>
                <w:rFonts w:ascii="Times New Roman" w:eastAsia="Times New Roman" w:hAnsi="Times New Roman" w:cs="Times New Roman"/>
                <w:sz w:val="24"/>
                <w:szCs w:val="24"/>
                <w:lang w:val="ro-RO"/>
              </w:rPr>
              <w:t>le</w:t>
            </w:r>
            <w:r w:rsidRPr="002D05E0">
              <w:rPr>
                <w:rFonts w:ascii="Times New Roman" w:eastAsia="Times New Roman" w:hAnsi="Times New Roman" w:cs="Times New Roman"/>
                <w:sz w:val="24"/>
                <w:szCs w:val="24"/>
                <w:lang w:val="ro-RO"/>
              </w:rPr>
              <w:t xml:space="preserve"> eligibile</w:t>
            </w:r>
            <w:r w:rsidR="002D05E0" w:rsidRPr="002D05E0">
              <w:rPr>
                <w:rFonts w:ascii="Times New Roman" w:eastAsia="Times New Roman" w:hAnsi="Times New Roman" w:cs="Times New Roman"/>
                <w:sz w:val="24"/>
                <w:szCs w:val="24"/>
                <w:lang w:val="ro-RO"/>
              </w:rPr>
              <w:t xml:space="preserve"> ale proiectului conform Ghidului Solicitantului: </w:t>
            </w:r>
          </w:p>
          <w:p w14:paraId="73B0B7CB" w14:textId="2D8664C8" w:rsidR="005072CF" w:rsidRPr="002D05E0" w:rsidRDefault="005072CF" w:rsidP="005072CF">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Instalarea de mici capacități noi de producție de energie din surse regenerabile (solar, eolian, geotermal,  inclusiv pompe de căldură, biogaz și capacități de stocare a energiei, alte tipuri de energie din surse regenerabile, excluzând biomasa) în vederea asigurării consumului propriu de energie electrică și/sau termică la nivelul clădiril</w:t>
            </w:r>
            <w:r w:rsidR="002D05E0" w:rsidRPr="002D05E0">
              <w:rPr>
                <w:rFonts w:ascii="Times New Roman" w:eastAsia="Times New Roman" w:hAnsi="Times New Roman" w:cs="Times New Roman"/>
                <w:sz w:val="24"/>
                <w:szCs w:val="24"/>
                <w:lang w:val="ro-RO"/>
              </w:rPr>
              <w:t>or</w:t>
            </w:r>
            <w:r w:rsidRPr="002D05E0">
              <w:rPr>
                <w:rFonts w:ascii="Times New Roman" w:eastAsia="Times New Roman" w:hAnsi="Times New Roman" w:cs="Times New Roman"/>
                <w:sz w:val="24"/>
                <w:szCs w:val="24"/>
                <w:lang w:val="ro-RO"/>
              </w:rPr>
              <w:t xml:space="preserve"> autorității publice locale și în vederea acoperirii necesarului de consum estimat al gospodăriilor care ar urma să facă parte din comunitatea de energie</w:t>
            </w:r>
            <w:r w:rsidR="002D05E0" w:rsidRPr="002D05E0">
              <w:rPr>
                <w:rFonts w:ascii="Times New Roman" w:eastAsia="Times New Roman" w:hAnsi="Times New Roman" w:cs="Times New Roman"/>
                <w:sz w:val="24"/>
                <w:szCs w:val="24"/>
                <w:lang w:val="ro-RO"/>
              </w:rPr>
              <w:t>, după cum urmează</w:t>
            </w:r>
            <w:r w:rsidRPr="002D05E0">
              <w:rPr>
                <w:rFonts w:ascii="Times New Roman" w:eastAsia="Times New Roman" w:hAnsi="Times New Roman" w:cs="Times New Roman"/>
                <w:sz w:val="24"/>
                <w:szCs w:val="24"/>
                <w:lang w:val="ro-RO"/>
              </w:rPr>
              <w:t>:</w:t>
            </w:r>
          </w:p>
          <w:p w14:paraId="5D87D15E" w14:textId="6677D036"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5072CF">
              <w:rPr>
                <w:rFonts w:ascii="Times New Roman" w:eastAsia="Times New Roman" w:hAnsi="Times New Roman" w:cs="Times New Roman"/>
                <w:color w:val="000000"/>
                <w:sz w:val="24"/>
                <w:szCs w:val="24"/>
                <w:lang w:val="ro-RO"/>
              </w:rPr>
              <w:t>•</w:t>
            </w:r>
            <w:r w:rsidRPr="005072CF">
              <w:rPr>
                <w:rFonts w:ascii="Times New Roman" w:eastAsia="Times New Roman" w:hAnsi="Times New Roman" w:cs="Times New Roman"/>
                <w:color w:val="000000"/>
                <w:sz w:val="24"/>
                <w:szCs w:val="24"/>
                <w:lang w:val="ro-RO"/>
              </w:rPr>
              <w:tab/>
            </w:r>
            <w:r w:rsidR="002D05E0" w:rsidRPr="002D05E0">
              <w:rPr>
                <w:rFonts w:ascii="Times New Roman" w:eastAsia="Times New Roman" w:hAnsi="Times New Roman" w:cs="Times New Roman"/>
                <w:color w:val="002060"/>
                <w:sz w:val="24"/>
                <w:szCs w:val="24"/>
                <w:lang w:val="ro-RO"/>
              </w:rPr>
              <w:t>r</w:t>
            </w:r>
            <w:r w:rsidRPr="002D05E0">
              <w:rPr>
                <w:rFonts w:ascii="Times New Roman" w:eastAsia="Times New Roman" w:hAnsi="Times New Roman" w:cs="Times New Roman"/>
                <w:color w:val="002060"/>
                <w:sz w:val="24"/>
                <w:szCs w:val="24"/>
                <w:lang w:val="ro-RO"/>
              </w:rPr>
              <w:t>ealizarea/ extinderea capacităţilor de producere energie electrică şi termică în cogenerare din surse regenerabile;</w:t>
            </w:r>
          </w:p>
          <w:p w14:paraId="3E77EF45" w14:textId="2BB6D6E7"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r</w:t>
            </w:r>
            <w:r w:rsidRPr="002D05E0">
              <w:rPr>
                <w:rFonts w:ascii="Times New Roman" w:eastAsia="Times New Roman" w:hAnsi="Times New Roman" w:cs="Times New Roman"/>
                <w:color w:val="002060"/>
                <w:sz w:val="24"/>
                <w:szCs w:val="24"/>
                <w:lang w:val="ro-RO"/>
              </w:rPr>
              <w:t>ealizarea/ extinderea capacităților de producţie a energiei termice prin utilizarea energiei geotermale, pompe de căldură, panouri solare/ termice, alte surse de energie regenerabilă (inclusiv capacități de stocare a energiei termice);</w:t>
            </w:r>
          </w:p>
          <w:p w14:paraId="1A230807" w14:textId="7D50DFA8"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r</w:t>
            </w:r>
            <w:r w:rsidRPr="002D05E0">
              <w:rPr>
                <w:rFonts w:ascii="Times New Roman" w:eastAsia="Times New Roman" w:hAnsi="Times New Roman" w:cs="Times New Roman"/>
                <w:color w:val="002060"/>
                <w:sz w:val="24"/>
                <w:szCs w:val="24"/>
                <w:lang w:val="ro-RO"/>
              </w:rPr>
              <w:t>ealizarea/ extinderea capacităţilor de producţie a energiei electrice din energie solară, eoliană;</w:t>
            </w:r>
          </w:p>
          <w:p w14:paraId="4CF7C5D7" w14:textId="1CD29ED3"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s</w:t>
            </w:r>
            <w:r w:rsidRPr="002D05E0">
              <w:rPr>
                <w:rFonts w:ascii="Times New Roman" w:eastAsia="Times New Roman" w:hAnsi="Times New Roman" w:cs="Times New Roman"/>
                <w:color w:val="002060"/>
                <w:sz w:val="24"/>
                <w:szCs w:val="24"/>
                <w:lang w:val="ro-RO"/>
              </w:rPr>
              <w:t>isteme de stocare a energiei electrice – baterii de stocare;</w:t>
            </w:r>
          </w:p>
          <w:p w14:paraId="586DA604" w14:textId="12F39DCA"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c</w:t>
            </w:r>
            <w:r w:rsidRPr="002D05E0">
              <w:rPr>
                <w:rFonts w:ascii="Times New Roman" w:eastAsia="Times New Roman" w:hAnsi="Times New Roman" w:cs="Times New Roman"/>
                <w:color w:val="002060"/>
                <w:sz w:val="24"/>
                <w:szCs w:val="24"/>
                <w:lang w:val="ro-RO"/>
              </w:rPr>
              <w:t xml:space="preserve">omponente ale instalațiilor precum invertoare, structuri de montaj, kit de montaj, sisteme de monitorizare (smart meters); </w:t>
            </w:r>
          </w:p>
          <w:p w14:paraId="0186CA4A" w14:textId="205A06F2"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r</w:t>
            </w:r>
            <w:r w:rsidRPr="002D05E0">
              <w:rPr>
                <w:rFonts w:ascii="Times New Roman" w:eastAsia="Times New Roman" w:hAnsi="Times New Roman" w:cs="Times New Roman"/>
                <w:color w:val="002060"/>
                <w:sz w:val="24"/>
                <w:szCs w:val="24"/>
                <w:lang w:val="ro-RO"/>
              </w:rPr>
              <w:t>acordul/ rețeaua (electrică sau termică) între locul de producere, cel de consum și/sau bateria de stocare, până la limita SEN, în cadrul unor proiectelor integrate;</w:t>
            </w:r>
          </w:p>
          <w:p w14:paraId="2B0B1C67" w14:textId="38C93726" w:rsidR="005072CF" w:rsidRPr="002D05E0"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r>
            <w:r w:rsidR="002D05E0" w:rsidRPr="002D05E0">
              <w:rPr>
                <w:rFonts w:ascii="Times New Roman" w:eastAsia="Times New Roman" w:hAnsi="Times New Roman" w:cs="Times New Roman"/>
                <w:color w:val="002060"/>
                <w:sz w:val="24"/>
                <w:szCs w:val="24"/>
                <w:lang w:val="ro-RO"/>
              </w:rPr>
              <w:t>i</w:t>
            </w:r>
            <w:r w:rsidRPr="002D05E0">
              <w:rPr>
                <w:rFonts w:ascii="Times New Roman" w:eastAsia="Times New Roman" w:hAnsi="Times New Roman" w:cs="Times New Roman"/>
                <w:color w:val="002060"/>
                <w:sz w:val="24"/>
                <w:szCs w:val="24"/>
                <w:lang w:val="ro-RO"/>
              </w:rPr>
              <w:t>nstalarea de sistem de management al energiei (EMS - Energy Management System) și alte sistemele IT/ automatizări în vederea optimizării producției și consumurilor la nivelul locurilor de consum acoperite de prezentul apel, pentru gestionarea fluxurilor de energie, monitorizare, digitalizare etc.</w:t>
            </w:r>
          </w:p>
          <w:p w14:paraId="08931B94" w14:textId="2663569C" w:rsidR="00E922EF" w:rsidRDefault="005072CF" w:rsidP="005072CF">
            <w:pPr>
              <w:spacing w:after="0" w:line="240" w:lineRule="auto"/>
              <w:jc w:val="both"/>
              <w:rPr>
                <w:rFonts w:ascii="Times New Roman" w:eastAsia="Times New Roman" w:hAnsi="Times New Roman" w:cs="Times New Roman"/>
                <w:color w:val="002060"/>
                <w:sz w:val="24"/>
                <w:szCs w:val="24"/>
                <w:lang w:val="ro-RO"/>
              </w:rPr>
            </w:pPr>
            <w:r w:rsidRPr="002D05E0">
              <w:rPr>
                <w:rFonts w:ascii="Times New Roman" w:eastAsia="Times New Roman" w:hAnsi="Times New Roman" w:cs="Times New Roman"/>
                <w:color w:val="002060"/>
                <w:sz w:val="24"/>
                <w:szCs w:val="24"/>
                <w:lang w:val="ro-RO"/>
              </w:rPr>
              <w:t>•</w:t>
            </w:r>
            <w:r w:rsidRPr="002D05E0">
              <w:rPr>
                <w:rFonts w:ascii="Times New Roman" w:eastAsia="Times New Roman" w:hAnsi="Times New Roman" w:cs="Times New Roman"/>
                <w:color w:val="002060"/>
                <w:sz w:val="24"/>
                <w:szCs w:val="24"/>
                <w:lang w:val="ro-RO"/>
              </w:rPr>
              <w:tab/>
              <w:t xml:space="preserve">Cheltuieli cu campanii de informare, obligatorii </w:t>
            </w:r>
            <w:r w:rsidR="002D05E0" w:rsidRPr="002D05E0">
              <w:rPr>
                <w:rFonts w:ascii="Times New Roman" w:eastAsia="Times New Roman" w:hAnsi="Times New Roman" w:cs="Times New Roman"/>
                <w:color w:val="002060"/>
                <w:sz w:val="24"/>
                <w:szCs w:val="24"/>
                <w:lang w:val="ro-RO"/>
              </w:rPr>
              <w:t>î</w:t>
            </w:r>
            <w:r w:rsidRPr="002D05E0">
              <w:rPr>
                <w:rFonts w:ascii="Times New Roman" w:eastAsia="Times New Roman" w:hAnsi="Times New Roman" w:cs="Times New Roman"/>
                <w:color w:val="002060"/>
                <w:sz w:val="24"/>
                <w:szCs w:val="24"/>
                <w:lang w:val="ro-RO"/>
              </w:rPr>
              <w:t>n proiect, precum și asistență cu privire la crearea și funcționarea comunității, în contextul obiectivelor proiectului</w:t>
            </w:r>
            <w:r w:rsidR="002D05E0" w:rsidRPr="002D05E0">
              <w:rPr>
                <w:rFonts w:ascii="Times New Roman" w:eastAsia="Times New Roman" w:hAnsi="Times New Roman" w:cs="Times New Roman"/>
                <w:color w:val="002060"/>
                <w:sz w:val="24"/>
                <w:szCs w:val="24"/>
                <w:lang w:val="ro-RO"/>
              </w:rPr>
              <w:t>.</w:t>
            </w:r>
          </w:p>
          <w:p w14:paraId="669FC927" w14:textId="77777777" w:rsidR="002D05E0" w:rsidRDefault="002D05E0" w:rsidP="002D05E0">
            <w:pPr>
              <w:spacing w:after="0" w:line="240" w:lineRule="auto"/>
              <w:jc w:val="both"/>
              <w:rPr>
                <w:rFonts w:ascii="Times New Roman" w:eastAsia="Times New Roman" w:hAnsi="Times New Roman" w:cs="Times New Roman"/>
                <w:color w:val="002060"/>
                <w:sz w:val="24"/>
                <w:szCs w:val="24"/>
                <w:lang w:val="ro-RO"/>
              </w:rPr>
            </w:pPr>
          </w:p>
          <w:p w14:paraId="001A5E56" w14:textId="77777777" w:rsidR="00D86055" w:rsidRDefault="00D86055" w:rsidP="002D05E0">
            <w:pPr>
              <w:spacing w:after="0" w:line="240" w:lineRule="auto"/>
              <w:jc w:val="center"/>
              <w:rPr>
                <w:rFonts w:ascii="Times New Roman" w:eastAsia="Times New Roman" w:hAnsi="Times New Roman" w:cs="Times New Roman"/>
                <w:b/>
                <w:bCs/>
                <w:sz w:val="24"/>
                <w:szCs w:val="24"/>
                <w:lang w:val="ro-RO"/>
              </w:rPr>
            </w:pPr>
          </w:p>
          <w:p w14:paraId="595C3A37" w14:textId="03A8DC5C" w:rsidR="002D05E0" w:rsidRPr="00E62A4D" w:rsidRDefault="002D05E0" w:rsidP="002D05E0">
            <w:pPr>
              <w:spacing w:after="0" w:line="240" w:lineRule="auto"/>
              <w:jc w:val="center"/>
              <w:rPr>
                <w:rFonts w:ascii="Times New Roman" w:eastAsia="Times New Roman" w:hAnsi="Times New Roman" w:cs="Times New Roman"/>
                <w:b/>
                <w:bCs/>
                <w:sz w:val="24"/>
                <w:szCs w:val="24"/>
                <w:lang w:val="ro-RO"/>
              </w:rPr>
            </w:pPr>
            <w:r w:rsidRPr="00E62A4D">
              <w:rPr>
                <w:rFonts w:ascii="Times New Roman" w:eastAsia="Times New Roman" w:hAnsi="Times New Roman" w:cs="Times New Roman"/>
                <w:b/>
                <w:bCs/>
                <w:sz w:val="24"/>
                <w:szCs w:val="24"/>
                <w:lang w:val="ro-RO"/>
              </w:rPr>
              <w:lastRenderedPageBreak/>
              <w:t>LISTA DE VERIFICARE DNSH</w:t>
            </w:r>
          </w:p>
          <w:p w14:paraId="42324877" w14:textId="77777777" w:rsidR="002D05E0" w:rsidRPr="002D05E0" w:rsidRDefault="002D05E0" w:rsidP="002D05E0">
            <w:pPr>
              <w:spacing w:after="0" w:line="240" w:lineRule="auto"/>
              <w:jc w:val="center"/>
              <w:rPr>
                <w:rFonts w:ascii="Times New Roman" w:eastAsia="Times New Roman" w:hAnsi="Times New Roman" w:cs="Times New Roman"/>
                <w:sz w:val="24"/>
                <w:szCs w:val="24"/>
                <w:lang w:val="ro-RO"/>
              </w:rPr>
            </w:pPr>
          </w:p>
          <w:p w14:paraId="1E12DA12" w14:textId="77777777" w:rsidR="002D05E0" w:rsidRDefault="002D05E0" w:rsidP="002D05E0">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Notă: pentru cele șase obiective de mediu solicitantul va prezenta informațiile aferente conformității proiectului cu principiul DNSH.</w:t>
            </w:r>
          </w:p>
          <w:p w14:paraId="1CF41558" w14:textId="77777777" w:rsidR="008E2349" w:rsidRPr="002D05E0" w:rsidRDefault="008E2349" w:rsidP="002D05E0">
            <w:pPr>
              <w:spacing w:after="0" w:line="240" w:lineRule="auto"/>
              <w:jc w:val="both"/>
              <w:rPr>
                <w:rFonts w:ascii="Times New Roman" w:eastAsia="Times New Roman" w:hAnsi="Times New Roman" w:cs="Times New Roman"/>
                <w:sz w:val="24"/>
                <w:szCs w:val="24"/>
                <w:lang w:val="ro-RO"/>
              </w:rPr>
            </w:pPr>
          </w:p>
          <w:p w14:paraId="6995AA75" w14:textId="77777777" w:rsidR="008E2349" w:rsidRDefault="002D05E0" w:rsidP="002D05E0">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În cazul în care pentru un obiectiv de mediu este bifat NU (nu necesită evaluare de fond) se vor menționa informațiile/documentele care justifică îndeplinirea criteriului.</w:t>
            </w:r>
          </w:p>
          <w:p w14:paraId="39140318" w14:textId="77777777" w:rsidR="008E2349" w:rsidRDefault="002D05E0" w:rsidP="002D05E0">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 xml:space="preserve">În cazul în care pentru un obiectiv de mediu </w:t>
            </w:r>
            <w:r w:rsidR="008E2349">
              <w:rPr>
                <w:rFonts w:ascii="Times New Roman" w:eastAsia="Times New Roman" w:hAnsi="Times New Roman" w:cs="Times New Roman"/>
                <w:sz w:val="24"/>
                <w:szCs w:val="24"/>
                <w:lang w:val="ro-RO"/>
              </w:rPr>
              <w:t>este</w:t>
            </w:r>
            <w:r w:rsidRPr="002D05E0">
              <w:rPr>
                <w:rFonts w:ascii="Times New Roman" w:eastAsia="Times New Roman" w:hAnsi="Times New Roman" w:cs="Times New Roman"/>
                <w:sz w:val="24"/>
                <w:szCs w:val="24"/>
                <w:lang w:val="ro-RO"/>
              </w:rPr>
              <w:t xml:space="preserve"> bifat DA (necesită evaluare de fond) se va detalia cu informații specifice aferente proiectului care justifică îndeplinirea criteriului. </w:t>
            </w:r>
          </w:p>
          <w:p w14:paraId="4AA071C1" w14:textId="30F4C41B" w:rsidR="002D05E0" w:rsidRPr="002D05E0" w:rsidRDefault="002D05E0" w:rsidP="002D05E0">
            <w:pPr>
              <w:spacing w:after="0" w:line="240" w:lineRule="auto"/>
              <w:jc w:val="both"/>
              <w:rPr>
                <w:rFonts w:ascii="Times New Roman" w:eastAsia="Times New Roman" w:hAnsi="Times New Roman" w:cs="Times New Roman"/>
                <w:sz w:val="24"/>
                <w:szCs w:val="24"/>
                <w:lang w:val="ro-RO"/>
              </w:rPr>
            </w:pPr>
            <w:r w:rsidRPr="002D05E0">
              <w:rPr>
                <w:rFonts w:ascii="Times New Roman" w:eastAsia="Times New Roman" w:hAnsi="Times New Roman" w:cs="Times New Roman"/>
                <w:sz w:val="24"/>
                <w:szCs w:val="24"/>
                <w:lang w:val="ro-RO"/>
              </w:rPr>
              <w:t>Pentru probarea informațiilor specifice prin care se demonstrează respectarea obiectivului de mediu, se va menționa, după caz, documentul relevant sau actul de reglementare (secțiune și pagină).</w:t>
            </w:r>
          </w:p>
          <w:p w14:paraId="4757238B" w14:textId="77777777" w:rsidR="004C1880" w:rsidRPr="004506DA" w:rsidRDefault="004C1880" w:rsidP="008138C6">
            <w:pPr>
              <w:spacing w:after="0" w:line="240" w:lineRule="auto"/>
              <w:jc w:val="both"/>
              <w:rPr>
                <w:rFonts w:ascii="Times New Roman" w:eastAsia="Times New Roman" w:hAnsi="Times New Roman" w:cs="Times New Roman"/>
                <w:i/>
                <w:iCs/>
                <w:color w:val="0070C0"/>
                <w:lang w:val="ro-RO"/>
              </w:rPr>
            </w:pPr>
          </w:p>
          <w:p w14:paraId="22FDD657" w14:textId="4CA093E9" w:rsidR="008138C6" w:rsidRPr="004506DA" w:rsidRDefault="00E922EF" w:rsidP="008138C6">
            <w:pPr>
              <w:spacing w:after="0" w:line="240" w:lineRule="auto"/>
              <w:jc w:val="both"/>
              <w:rPr>
                <w:rFonts w:ascii="Times New Roman" w:eastAsia="Times New Roman" w:hAnsi="Times New Roman" w:cs="Times New Roman"/>
                <w:i/>
                <w:iCs/>
                <w:color w:val="0070C0"/>
                <w:lang w:val="ro-RO"/>
              </w:rPr>
            </w:pPr>
            <w:r w:rsidRPr="004506DA">
              <w:rPr>
                <w:rFonts w:ascii="Times New Roman" w:eastAsia="Times New Roman" w:hAnsi="Times New Roman" w:cs="Times New Roman"/>
                <w:i/>
                <w:iCs/>
                <w:color w:val="0070C0"/>
                <w:lang w:val="ro-RO"/>
              </w:rPr>
              <w:t>Partea 1- Filtrarea celor 6 obiective de mediu pentru a le identifica pe cele care necesită o evaluare de fond</w:t>
            </w:r>
          </w:p>
          <w:p w14:paraId="5191717B" w14:textId="77777777" w:rsidR="00B270AF" w:rsidRPr="004506DA" w:rsidRDefault="00B270AF" w:rsidP="008138C6">
            <w:pPr>
              <w:spacing w:after="0" w:line="240" w:lineRule="auto"/>
              <w:jc w:val="both"/>
              <w:rPr>
                <w:rFonts w:ascii="Times New Roman" w:eastAsia="Times New Roman" w:hAnsi="Times New Roman" w:cs="Times New Roman"/>
                <w:color w:val="000000"/>
                <w:sz w:val="16"/>
                <w:szCs w:val="16"/>
                <w:lang w:val="ro-RO"/>
              </w:rPr>
            </w:pPr>
          </w:p>
          <w:tbl>
            <w:tblPr>
              <w:tblStyle w:val="TableGrid"/>
              <w:tblW w:w="0" w:type="auto"/>
              <w:tblLook w:val="04A0" w:firstRow="1" w:lastRow="0" w:firstColumn="1" w:lastColumn="0" w:noHBand="0" w:noVBand="1"/>
            </w:tblPr>
            <w:tblGrid>
              <w:gridCol w:w="3850"/>
              <w:gridCol w:w="900"/>
              <w:gridCol w:w="810"/>
              <w:gridCol w:w="15805"/>
            </w:tblGrid>
            <w:tr w:rsidR="008E2349" w:rsidRPr="004506DA" w14:paraId="21B42001" w14:textId="77777777" w:rsidTr="00B270AF">
              <w:tc>
                <w:tcPr>
                  <w:tcW w:w="3850" w:type="dxa"/>
                  <w:shd w:val="clear" w:color="auto" w:fill="D0CECE" w:themeFill="background2" w:themeFillShade="E6"/>
                </w:tcPr>
                <w:p w14:paraId="6B981E20" w14:textId="3513F1E6" w:rsidR="008E2349" w:rsidRPr="004506DA" w:rsidRDefault="008E2349" w:rsidP="008E2349">
                  <w:pPr>
                    <w:jc w:val="both"/>
                    <w:rPr>
                      <w:rFonts w:ascii="Times New Roman" w:eastAsia="Times New Roman" w:hAnsi="Times New Roman" w:cs="Times New Roman"/>
                      <w:color w:val="A5A5A5" w:themeColor="accent3"/>
                    </w:rPr>
                  </w:pPr>
                  <w:r w:rsidRPr="00080258">
                    <w:rPr>
                      <w:rFonts w:ascii="Times New Roman" w:eastAsia="Arial" w:hAnsi="Times New Roman" w:cs="Times New Roman"/>
                      <w:b/>
                      <w:noProof/>
                      <w:sz w:val="24"/>
                      <w:szCs w:val="24"/>
                    </w:rPr>
                    <w:t>Indicați care dintre obiectivele de mediu de mai jos necesită o evaluare de fond DNSH a măsurii</w:t>
                  </w:r>
                </w:p>
              </w:tc>
              <w:tc>
                <w:tcPr>
                  <w:tcW w:w="900" w:type="dxa"/>
                  <w:shd w:val="clear" w:color="auto" w:fill="D0CECE" w:themeFill="background2" w:themeFillShade="E6"/>
                </w:tcPr>
                <w:p w14:paraId="45C8986D" w14:textId="34804A88" w:rsidR="008E2349" w:rsidRPr="004506DA" w:rsidRDefault="008E2349" w:rsidP="00760D00">
                  <w:pPr>
                    <w:jc w:val="center"/>
                    <w:rPr>
                      <w:rFonts w:ascii="Times New Roman" w:eastAsia="Times New Roman" w:hAnsi="Times New Roman" w:cs="Times New Roman"/>
                      <w:color w:val="A5A5A5" w:themeColor="accent3"/>
                    </w:rPr>
                  </w:pPr>
                  <w:r w:rsidRPr="00080258">
                    <w:rPr>
                      <w:rFonts w:ascii="Times New Roman" w:eastAsia="Arial" w:hAnsi="Times New Roman" w:cs="Times New Roman"/>
                      <w:b/>
                      <w:noProof/>
                      <w:sz w:val="24"/>
                      <w:szCs w:val="24"/>
                    </w:rPr>
                    <w:t>Da</w:t>
                  </w:r>
                </w:p>
              </w:tc>
              <w:tc>
                <w:tcPr>
                  <w:tcW w:w="810" w:type="dxa"/>
                  <w:shd w:val="clear" w:color="auto" w:fill="D0CECE" w:themeFill="background2" w:themeFillShade="E6"/>
                </w:tcPr>
                <w:p w14:paraId="3B8C6F88" w14:textId="06EB523B" w:rsidR="008E2349" w:rsidRPr="004506DA" w:rsidRDefault="008E2349" w:rsidP="00760D00">
                  <w:pPr>
                    <w:jc w:val="center"/>
                    <w:rPr>
                      <w:rFonts w:ascii="Times New Roman" w:eastAsia="Times New Roman" w:hAnsi="Times New Roman" w:cs="Times New Roman"/>
                    </w:rPr>
                  </w:pPr>
                  <w:r w:rsidRPr="00080258">
                    <w:rPr>
                      <w:rFonts w:ascii="Times New Roman" w:eastAsia="Arial" w:hAnsi="Times New Roman" w:cs="Times New Roman"/>
                      <w:b/>
                      <w:noProof/>
                      <w:sz w:val="24"/>
                      <w:szCs w:val="24"/>
                    </w:rPr>
                    <w:t>Nu</w:t>
                  </w:r>
                </w:p>
              </w:tc>
              <w:tc>
                <w:tcPr>
                  <w:tcW w:w="15805" w:type="dxa"/>
                  <w:shd w:val="clear" w:color="auto" w:fill="D0CECE" w:themeFill="background2" w:themeFillShade="E6"/>
                </w:tcPr>
                <w:p w14:paraId="1048512F" w14:textId="77777777" w:rsidR="008E2349" w:rsidRPr="00080258" w:rsidRDefault="008E2349" w:rsidP="008E2349">
                  <w:pPr>
                    <w:spacing w:after="120"/>
                    <w:ind w:hanging="2"/>
                    <w:jc w:val="center"/>
                    <w:rPr>
                      <w:rFonts w:ascii="Times New Roman" w:eastAsia="Arial" w:hAnsi="Times New Roman" w:cs="Times New Roman"/>
                      <w:b/>
                      <w:noProof/>
                      <w:sz w:val="24"/>
                      <w:szCs w:val="24"/>
                    </w:rPr>
                  </w:pPr>
                  <w:r w:rsidRPr="00080258">
                    <w:rPr>
                      <w:rFonts w:ascii="Times New Roman" w:eastAsia="Arial" w:hAnsi="Times New Roman" w:cs="Times New Roman"/>
                      <w:b/>
                      <w:noProof/>
                      <w:sz w:val="24"/>
                      <w:szCs w:val="24"/>
                    </w:rPr>
                    <w:t>Justificare</w:t>
                  </w:r>
                  <w:r w:rsidRPr="00080258">
                    <w:rPr>
                      <w:rStyle w:val="FootnoteReference"/>
                      <w:rFonts w:ascii="Times New Roman" w:eastAsia="Arial" w:hAnsi="Times New Roman" w:cs="Times New Roman"/>
                      <w:b/>
                      <w:noProof/>
                      <w:sz w:val="24"/>
                      <w:szCs w:val="24"/>
                    </w:rPr>
                    <w:footnoteReference w:id="1"/>
                  </w:r>
                  <w:r w:rsidRPr="00080258">
                    <w:rPr>
                      <w:rFonts w:ascii="Times New Roman" w:eastAsia="Arial" w:hAnsi="Times New Roman" w:cs="Times New Roman"/>
                      <w:b/>
                      <w:noProof/>
                      <w:sz w:val="24"/>
                      <w:szCs w:val="24"/>
                    </w:rPr>
                    <w:t xml:space="preserve"> în cazul selectării răspunsului „Nu”</w:t>
                  </w:r>
                </w:p>
                <w:p w14:paraId="159F7765" w14:textId="415F4121" w:rsidR="008E2349" w:rsidRPr="004506DA" w:rsidRDefault="008E2349" w:rsidP="008E2349">
                  <w:pPr>
                    <w:jc w:val="center"/>
                    <w:rPr>
                      <w:rFonts w:ascii="Times New Roman" w:eastAsia="Times New Roman" w:hAnsi="Times New Roman" w:cs="Times New Roman"/>
                      <w:color w:val="A5A5A5" w:themeColor="accent3"/>
                    </w:rPr>
                  </w:pPr>
                  <w:r w:rsidRPr="00080258">
                    <w:rPr>
                      <w:rFonts w:ascii="Times New Roman" w:eastAsia="Arial" w:hAnsi="Times New Roman" w:cs="Times New Roman"/>
                      <w:i/>
                      <w:noProof/>
                      <w:color w:val="002060"/>
                      <w:sz w:val="24"/>
                      <w:szCs w:val="24"/>
                    </w:rPr>
                    <w:t>- completare corespunzător proiectului -</w:t>
                  </w:r>
                </w:p>
              </w:tc>
            </w:tr>
            <w:tr w:rsidR="00B270AF" w:rsidRPr="004506DA" w14:paraId="42223D7A" w14:textId="77777777" w:rsidTr="00B270AF">
              <w:tc>
                <w:tcPr>
                  <w:tcW w:w="3850" w:type="dxa"/>
                </w:tcPr>
                <w:p w14:paraId="3AF7B812" w14:textId="5E11B35C" w:rsidR="00B270AF" w:rsidRPr="00760D00" w:rsidRDefault="00E922EF" w:rsidP="008138C6">
                  <w:pPr>
                    <w:jc w:val="both"/>
                    <w:rPr>
                      <w:rFonts w:ascii="Times New Roman" w:eastAsia="Times New Roman" w:hAnsi="Times New Roman" w:cs="Times New Roman"/>
                      <w:color w:val="000000"/>
                      <w:sz w:val="24"/>
                      <w:szCs w:val="24"/>
                    </w:rPr>
                  </w:pPr>
                  <w:r w:rsidRPr="00760D00">
                    <w:rPr>
                      <w:rFonts w:ascii="Times New Roman" w:eastAsia="Times New Roman" w:hAnsi="Times New Roman" w:cs="Times New Roman"/>
                      <w:color w:val="000000"/>
                      <w:sz w:val="24"/>
                      <w:szCs w:val="24"/>
                    </w:rPr>
                    <w:t>Atenuarea schimbărilor climatice</w:t>
                  </w:r>
                </w:p>
              </w:tc>
              <w:tc>
                <w:tcPr>
                  <w:tcW w:w="900" w:type="dxa"/>
                </w:tcPr>
                <w:p w14:paraId="4C5D4E33" w14:textId="77777777" w:rsidR="00B270AF" w:rsidRPr="004506DA" w:rsidRDefault="00B270AF" w:rsidP="008138C6">
                  <w:pPr>
                    <w:jc w:val="both"/>
                    <w:rPr>
                      <w:rFonts w:ascii="Times New Roman" w:eastAsia="Times New Roman" w:hAnsi="Times New Roman" w:cs="Times New Roman"/>
                      <w:color w:val="000000"/>
                    </w:rPr>
                  </w:pPr>
                </w:p>
              </w:tc>
              <w:tc>
                <w:tcPr>
                  <w:tcW w:w="810" w:type="dxa"/>
                </w:tcPr>
                <w:p w14:paraId="328DD531" w14:textId="25B62F73" w:rsidR="00B270AF" w:rsidRPr="00760D00" w:rsidRDefault="00E922EF" w:rsidP="00760D00">
                  <w:pPr>
                    <w:jc w:val="center"/>
                    <w:rPr>
                      <w:rFonts w:ascii="Times New Roman" w:eastAsia="Times New Roman" w:hAnsi="Times New Roman" w:cs="Times New Roman"/>
                      <w:color w:val="000000"/>
                      <w:sz w:val="24"/>
                      <w:szCs w:val="24"/>
                    </w:rPr>
                  </w:pPr>
                  <w:r w:rsidRPr="00760D00">
                    <w:rPr>
                      <w:rFonts w:ascii="Times New Roman" w:eastAsia="Times New Roman" w:hAnsi="Times New Roman" w:cs="Times New Roman"/>
                      <w:color w:val="000000"/>
                      <w:sz w:val="24"/>
                      <w:szCs w:val="24"/>
                    </w:rPr>
                    <w:t>X</w:t>
                  </w:r>
                </w:p>
              </w:tc>
              <w:tc>
                <w:tcPr>
                  <w:tcW w:w="15805" w:type="dxa"/>
                </w:tcPr>
                <w:p w14:paraId="31913DBF" w14:textId="7B890142" w:rsidR="00756DB4" w:rsidRPr="004506DA" w:rsidRDefault="00756DB4" w:rsidP="00756DB4">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vederea asigurării securității energetice, respectiv pentru flexibilitatea sistemului energetic, prin PNIESC este încurajată dezvoltarea capacităților de producție a energiei electrice din surse regenerabile şi de stocare a energiei, la nivel local pentru reziliența serviciilor publice, vizând producerea descentralizată a energiei electrice din surse regenerabile pentru consumul propriu al clădirilor publice</w:t>
                  </w:r>
                  <w:r w:rsidR="004645A0" w:rsidRPr="004506DA">
                    <w:rPr>
                      <w:rFonts w:ascii="Times New Roman" w:eastAsia="Times New Roman" w:hAnsi="Times New Roman" w:cs="Times New Roman"/>
                      <w:color w:val="000000"/>
                    </w:rPr>
                    <w:t xml:space="preserve"> sau gospodăriilor individuale, după caz</w:t>
                  </w:r>
                  <w:r w:rsidRPr="004506DA">
                    <w:rPr>
                      <w:rFonts w:ascii="Times New Roman" w:eastAsia="Times New Roman" w:hAnsi="Times New Roman" w:cs="Times New Roman"/>
                      <w:color w:val="000000"/>
                    </w:rPr>
                    <w:t>. Aceste investiții vor contribui concomitent la atingerea țintelor privind energia regenerabilă (SRE) asumate la orizontul 2030. Precizăm, de asemenea, că sunt avute în vedere capacități de mici dimensiuni de producție, precum și dezvoltarea rețelor de transport și stocare de energie regenerabilă aferentă acestor capacități, iar analiza DNSH are în vedere toate aceste elemente, fiind vorba de proiecte integrate. De asemenea, se va avea în vedere diferențierea aspectelor relevante fiecare tip de sursă de energie (</w:t>
                  </w:r>
                  <w:r w:rsidR="004645A0" w:rsidRPr="004506DA">
                    <w:rPr>
                      <w:rFonts w:ascii="Times New Roman" w:eastAsia="Times New Roman" w:hAnsi="Times New Roman" w:cs="Times New Roman"/>
                      <w:color w:val="000000"/>
                    </w:rPr>
                    <w:t>ex.</w:t>
                  </w:r>
                  <w:r w:rsidRPr="004506DA">
                    <w:rPr>
                      <w:rFonts w:ascii="Times New Roman" w:eastAsia="Times New Roman" w:hAnsi="Times New Roman" w:cs="Times New Roman"/>
                      <w:color w:val="000000"/>
                    </w:rPr>
                    <w:t>eolian, solar, geotermal</w:t>
                  </w:r>
                  <w:r w:rsidR="004645A0" w:rsidRPr="004506DA">
                    <w:rPr>
                      <w:rFonts w:ascii="Times New Roman" w:eastAsia="Times New Roman" w:hAnsi="Times New Roman" w:cs="Times New Roman"/>
                      <w:color w:val="000000"/>
                    </w:rPr>
                    <w:t>, alte SRE - biogaz</w:t>
                  </w:r>
                  <w:r w:rsidRPr="004506DA">
                    <w:rPr>
                      <w:rFonts w:ascii="Times New Roman" w:eastAsia="Times New Roman" w:hAnsi="Times New Roman" w:cs="Times New Roman"/>
                      <w:color w:val="000000"/>
                    </w:rPr>
                    <w:t>).</w:t>
                  </w:r>
                </w:p>
                <w:p w14:paraId="2BFA89F3" w14:textId="77777777" w:rsidR="00756DB4" w:rsidRPr="004506DA" w:rsidRDefault="00756DB4" w:rsidP="00756DB4">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Codurile asociate acestor tipuri de intervenție, respectiv 047, 048, 052 au un procent de 100% pentru obiectivul privind schimbările climatice. Având în vedere faptul că măsura privind investițiile în noi capacități pentru producția de electricitate din surse regenerabile (eolian, solar, geotermal) sprijină cu un coeficient de 100% obiectivul privind atenuarea schimbărilor climatice, se consideră îndeplinit principiul DNSH pentru acest obiectiv de mediu, constribuind semnificativ. Astfel, contribuie subtanțial la atenuarea schimbărilor climatice următoarele tipuri de acțiuni:</w:t>
                  </w:r>
                </w:p>
                <w:p w14:paraId="3A39F8D2"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a) Realizarea capacităţilor de producere energie electrică sau termică din SRE, cu excepția biomasei, pentru consum propriu, </w:t>
                  </w:r>
                </w:p>
                <w:p w14:paraId="5D0B5F90"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b) Realizarea capacităţilor de producere energie electrică şi termică în cogenerare de  înaltă eficiență din surse regenerabile de energie (SRE), cu excepția biomasei, pentru consum propriu, </w:t>
                  </w:r>
                </w:p>
                <w:p w14:paraId="7F861A79" w14:textId="614DE3FD" w:rsidR="00756DB4" w:rsidRPr="004506DA" w:rsidRDefault="00124FF5" w:rsidP="00756DB4">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c) Realizarea capacităților de stocare.</w:t>
                  </w:r>
                  <w:r w:rsidR="00756DB4" w:rsidRPr="004506DA">
                    <w:rPr>
                      <w:rFonts w:ascii="Times New Roman" w:eastAsia="Times New Roman" w:hAnsi="Times New Roman" w:cs="Times New Roman"/>
                      <w:color w:val="000000"/>
                    </w:rPr>
                    <w:t xml:space="preserve">Implementarea acțiunii va avea ca rezultat reducerea consumului de energie din combustibili fosili, energie electrică și termică </w:t>
                  </w:r>
                  <w:r w:rsidRPr="004506DA">
                    <w:rPr>
                      <w:rFonts w:ascii="Times New Roman" w:eastAsia="Times New Roman" w:hAnsi="Times New Roman" w:cs="Times New Roman"/>
                      <w:color w:val="000000"/>
                    </w:rPr>
                    <w:t>, precum și decongestionarea sistemelor de transport și distribuție</w:t>
                  </w:r>
                  <w:r w:rsidR="00756DB4" w:rsidRPr="004506DA">
                    <w:rPr>
                      <w:rFonts w:ascii="Times New Roman" w:eastAsia="Times New Roman" w:hAnsi="Times New Roman" w:cs="Times New Roman"/>
                      <w:color w:val="000000"/>
                    </w:rPr>
                    <w:t>, cu impact asupra reducerii emisiilor de GES și combaterii sărăciei energetice.</w:t>
                  </w:r>
                </w:p>
                <w:p w14:paraId="56B29A14" w14:textId="043044B8" w:rsidR="00756DB4" w:rsidRPr="004506DA" w:rsidRDefault="00756DB4" w:rsidP="00756DB4">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Obiectivul investiției este instalarea de noi capacități de producere a energiei din surse regenerabile, prin apeluri de proiecte competitive.</w:t>
                  </w:r>
                </w:p>
                <w:p w14:paraId="46759BBC" w14:textId="4AC8F839" w:rsidR="00B270AF" w:rsidRPr="004506DA" w:rsidRDefault="00B270AF" w:rsidP="00756DB4">
                  <w:pPr>
                    <w:jc w:val="both"/>
                    <w:rPr>
                      <w:rFonts w:ascii="Times New Roman" w:eastAsia="Times New Roman" w:hAnsi="Times New Roman" w:cs="Times New Roman"/>
                      <w:color w:val="000000"/>
                    </w:rPr>
                  </w:pPr>
                </w:p>
                <w:p w14:paraId="59D82088" w14:textId="6BD875A8" w:rsidR="00124FF5" w:rsidRPr="004506DA" w:rsidRDefault="00124FF5" w:rsidP="00756DB4">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Cerințe specifice privind realizarea proiectelor care vor contribui la realizarea obiectivelor naționale privind schimbările climatice:</w:t>
                  </w:r>
                </w:p>
                <w:p w14:paraId="7103742F"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w:t>
                  </w:r>
                  <w:r w:rsidRPr="004506DA">
                    <w:rPr>
                      <w:rFonts w:ascii="Times New Roman" w:eastAsia="Times New Roman" w:hAnsi="Times New Roman" w:cs="Times New Roman"/>
                      <w:color w:val="000000"/>
                    </w:rPr>
                    <w:tab/>
                    <w:t>În cazul proiectelor care includ și pompele de caldură, acestea au un coeficient de performanță în conformitate cu prevederile Directivei (UE) 2018/2001 pentru promovarea utilizării energiei din surse regenerabile de energie (Anexa VII), versiunea consolidată.</w:t>
                  </w:r>
                </w:p>
                <w:p w14:paraId="2C8D30A0"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w:t>
                  </w:r>
                  <w:r w:rsidRPr="004506DA">
                    <w:rPr>
                      <w:rFonts w:ascii="Times New Roman" w:eastAsia="Times New Roman" w:hAnsi="Times New Roman" w:cs="Times New Roman"/>
                      <w:color w:val="000000"/>
                    </w:rPr>
                    <w:tab/>
                    <w:t>În cazul proiectelor care produc și utlilizează biogaz, materia primă este exclusiv din material organic (Anexa IX, partea A cu lista de materii prime) care respectă criteriile de durabilitate din Directiva 2018/2001 și a Regulamentului de punere în aplicare 2022/996, surse multiple de asemenea material organic fiind detaliate în cuprinsul celor două acte anterior menționate</w:t>
                  </w:r>
                </w:p>
                <w:p w14:paraId="3F8F4636"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w:t>
                  </w:r>
                  <w:r w:rsidRPr="004506DA">
                    <w:rPr>
                      <w:rFonts w:ascii="Times New Roman" w:eastAsia="Times New Roman" w:hAnsi="Times New Roman" w:cs="Times New Roman"/>
                      <w:color w:val="000000"/>
                    </w:rPr>
                    <w:tab/>
                    <w:t>În cazul proiectelor care utilizează biogazul, tehnologia adoptată respectă încadrarea în concentrațiile de emisii din gazele emanate în atmosferă, în conformitate cu legislația specifică în vigoare (v. http://www.anpm.ro/domenii)</w:t>
                  </w:r>
                </w:p>
                <w:p w14:paraId="76856885" w14:textId="77777777"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w:t>
                  </w:r>
                  <w:r w:rsidRPr="004506DA">
                    <w:rPr>
                      <w:rFonts w:ascii="Times New Roman" w:eastAsia="Times New Roman" w:hAnsi="Times New Roman" w:cs="Times New Roman"/>
                      <w:color w:val="000000"/>
                    </w:rPr>
                    <w:tab/>
                    <w:t>În cazul cogenerării, aceasta este de înaltă eficiență, conform definiției din Directiva 2012/27/UE (consolidată), iar tehnologiile de cogenerare sunt cele prevazute de Directiva 2012/27/UE (consolidată).din surse regenerabile</w:t>
                  </w:r>
                </w:p>
                <w:p w14:paraId="06388A67" w14:textId="7707AD86" w:rsidR="00124FF5" w:rsidRPr="004506DA" w:rsidRDefault="00124FF5" w:rsidP="00124FF5">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În cazul proiectelor care includ energie geotermală, beneficiarul depune licența de explorare. Dacă aceasta nu există, se va prezenta cel târziu la prima cerere de rambursare.</w:t>
                  </w:r>
                </w:p>
              </w:tc>
            </w:tr>
            <w:tr w:rsidR="00B270AF" w:rsidRPr="004506DA" w14:paraId="3AC80946" w14:textId="77777777" w:rsidTr="00B270AF">
              <w:tc>
                <w:tcPr>
                  <w:tcW w:w="3850" w:type="dxa"/>
                </w:tcPr>
                <w:p w14:paraId="369D43AB" w14:textId="13F6EBA8" w:rsidR="00B270AF" w:rsidRPr="00760D00" w:rsidRDefault="00E922EF" w:rsidP="008138C6">
                  <w:pPr>
                    <w:jc w:val="both"/>
                    <w:rPr>
                      <w:rFonts w:ascii="Times New Roman" w:eastAsia="Times New Roman" w:hAnsi="Times New Roman" w:cs="Times New Roman"/>
                      <w:color w:val="000000"/>
                      <w:sz w:val="24"/>
                      <w:szCs w:val="24"/>
                    </w:rPr>
                  </w:pPr>
                  <w:r w:rsidRPr="00760D00">
                    <w:rPr>
                      <w:rFonts w:ascii="Times New Roman" w:eastAsia="Times New Roman" w:hAnsi="Times New Roman" w:cs="Times New Roman"/>
                      <w:color w:val="000000"/>
                      <w:sz w:val="24"/>
                      <w:szCs w:val="24"/>
                    </w:rPr>
                    <w:t>Adaptarea la schimbările climatice</w:t>
                  </w:r>
                </w:p>
              </w:tc>
              <w:tc>
                <w:tcPr>
                  <w:tcW w:w="900" w:type="dxa"/>
                </w:tcPr>
                <w:p w14:paraId="4A39C280" w14:textId="77777777" w:rsidR="00B270AF" w:rsidRPr="00760D00" w:rsidRDefault="00B270AF" w:rsidP="008138C6">
                  <w:pPr>
                    <w:jc w:val="both"/>
                    <w:rPr>
                      <w:rFonts w:ascii="Times New Roman" w:eastAsia="Times New Roman" w:hAnsi="Times New Roman" w:cs="Times New Roman"/>
                      <w:color w:val="000000"/>
                      <w:sz w:val="24"/>
                      <w:szCs w:val="24"/>
                    </w:rPr>
                  </w:pPr>
                </w:p>
              </w:tc>
              <w:tc>
                <w:tcPr>
                  <w:tcW w:w="810" w:type="dxa"/>
                </w:tcPr>
                <w:p w14:paraId="24E77800" w14:textId="02BB486D" w:rsidR="00B270AF" w:rsidRPr="00760D00" w:rsidRDefault="00E922EF" w:rsidP="008138C6">
                  <w:pPr>
                    <w:jc w:val="both"/>
                    <w:rPr>
                      <w:rFonts w:ascii="Times New Roman" w:eastAsia="Times New Roman" w:hAnsi="Times New Roman" w:cs="Times New Roman"/>
                      <w:color w:val="000000"/>
                      <w:sz w:val="24"/>
                      <w:szCs w:val="24"/>
                    </w:rPr>
                  </w:pPr>
                  <w:r w:rsidRPr="00760D00">
                    <w:rPr>
                      <w:rFonts w:ascii="Times New Roman" w:eastAsia="Times New Roman" w:hAnsi="Times New Roman" w:cs="Times New Roman"/>
                      <w:color w:val="000000"/>
                      <w:sz w:val="24"/>
                      <w:szCs w:val="24"/>
                    </w:rPr>
                    <w:t>X</w:t>
                  </w:r>
                </w:p>
              </w:tc>
              <w:tc>
                <w:tcPr>
                  <w:tcW w:w="15805" w:type="dxa"/>
                </w:tcPr>
                <w:p w14:paraId="2FD250A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Conform Anexei 1 la Regulamentul UE 1060/2021, pentru obiectivul specific de a permite regiunilor și cetățenilor să facă față efectelor sociale, asupra ocupării forței de muncă, economice și de mediu ale tranziției către țintele energetice și climatice ale Uniunii pentru 2030 și o economie neutră din punct de vedere climatic până în 2050, în temeiul Acordului de la Paris, sprijinit de FTJ coeficientul pentru calcularea sprijinului acordat obiectivelor privind combaterea schimbărilor climatice este stabilit la 100 % pentru toate domeniile de intervenție utilizate.</w:t>
                  </w:r>
                </w:p>
                <w:p w14:paraId="72176877" w14:textId="1AE77116"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(eolian, solar, geotermal) aferente măsurii, care se pot confrunta în viitor cu situații dificile din cauza precipitațiilor extreme, a creșterii vitezei vântului, a inundațiilor, a creșterii numărului de zile cu temperaturi extreme şi a altor vulnerabilităţi (de ex. riscul seismic, în funcţie de localizare) etc.</w:t>
                  </w:r>
                </w:p>
                <w:p w14:paraId="070F8B1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Întrucât măsura se referă la construirea de noi capacități pentru producția de energie electrică din surse regenerabile, cu o durata de viață preconizată a investiţiilor de peste 10 ani, localizate în diferite zone ale ţării predispuse influențelor creșterii incidenţei precipitațiilor abundente, a inundațiilor, a vitezei vântului etc, a riscului seismic în cadrul documentaţiilor tehnico-economice, se va realiza o evaluare a riscurilor climatice și altor vulnerabilități identificate, utilizȃndu-se proiecții climatice în cadrul unei serii de scenarii viitoare, ținând seama de durata de viață preconizată a investiţiilor. Aceste riscuri climatice și vulnerabilități identificate vor fi evaluate și structurate în funcție de probabilitatea și intensitatea impactului asupra oricărei componente a proiectelor de investiţii aferente măsurii.</w:t>
                  </w:r>
                </w:p>
                <w:p w14:paraId="7A573CD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mod concret, în cadrul documentaţiilor tehnico-economice, pe baza evaluărilor privind influența investiţiilor asupra fenomenului schimbărilor climatice și, mai ales, a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5EF3671F" w14:textId="7FC5848D" w:rsidR="00B270AF"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Avȃnd în vedere cele de mai sus, proiectele de investiţii aferente măsurii nu au un impact previzibil semnificativ asupra obiectivului de mediu privind adaptarea la schimbările climatice, luȃnd în considerare atȃt efectele directe, cât și efectele primare indirecte de pe parcursul implementării. Totodată, soluțiile de adaptare nu vor afecta în mod negativ eforturile de adaptare sau nivelul de reziliență la riscurile fizice legate de climă a altor persoane, a naturii, a activelor și a altor activități economice și vor fi în concordanță cu eforturile de adaptare de la nivel local.</w:t>
                  </w:r>
                </w:p>
              </w:tc>
            </w:tr>
            <w:tr w:rsidR="00B270AF" w:rsidRPr="004506DA" w14:paraId="76338027" w14:textId="77777777" w:rsidTr="00B270AF">
              <w:tc>
                <w:tcPr>
                  <w:tcW w:w="3850" w:type="dxa"/>
                </w:tcPr>
                <w:p w14:paraId="27188352" w14:textId="3FD32A38"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Utilizarea durabilă și protejarea resurselor de apă și a celor marine</w:t>
                  </w:r>
                </w:p>
              </w:tc>
              <w:tc>
                <w:tcPr>
                  <w:tcW w:w="900" w:type="dxa"/>
                </w:tcPr>
                <w:p w14:paraId="72729FCD" w14:textId="0B69804F"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810" w:type="dxa"/>
                </w:tcPr>
                <w:p w14:paraId="32697276" w14:textId="77777777" w:rsidR="00B270AF" w:rsidRPr="004506DA" w:rsidRDefault="00B270AF" w:rsidP="008138C6">
                  <w:pPr>
                    <w:jc w:val="both"/>
                    <w:rPr>
                      <w:rFonts w:ascii="Times New Roman" w:eastAsia="Times New Roman" w:hAnsi="Times New Roman" w:cs="Times New Roman"/>
                      <w:color w:val="000000"/>
                    </w:rPr>
                  </w:pPr>
                </w:p>
              </w:tc>
              <w:tc>
                <w:tcPr>
                  <w:tcW w:w="15805" w:type="dxa"/>
                </w:tcPr>
                <w:p w14:paraId="1258DD6E" w14:textId="77777777" w:rsidR="00B270AF" w:rsidRPr="004506DA" w:rsidRDefault="00B270AF" w:rsidP="008138C6">
                  <w:pPr>
                    <w:jc w:val="both"/>
                    <w:rPr>
                      <w:rFonts w:ascii="Times New Roman" w:eastAsia="Times New Roman" w:hAnsi="Times New Roman" w:cs="Times New Roman"/>
                      <w:color w:val="000000"/>
                    </w:rPr>
                  </w:pPr>
                </w:p>
              </w:tc>
            </w:tr>
            <w:tr w:rsidR="00B270AF" w:rsidRPr="004506DA" w14:paraId="1349F25E" w14:textId="77777777" w:rsidTr="00B270AF">
              <w:tc>
                <w:tcPr>
                  <w:tcW w:w="3850" w:type="dxa"/>
                </w:tcPr>
                <w:p w14:paraId="5418C05D" w14:textId="0BDCEC7F"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Economia circulară, inclusiv prevenirea generării de deșeuri și reciclarea acestora</w:t>
                  </w:r>
                </w:p>
              </w:tc>
              <w:tc>
                <w:tcPr>
                  <w:tcW w:w="900" w:type="dxa"/>
                </w:tcPr>
                <w:p w14:paraId="5498A3B3" w14:textId="704BE1E7"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810" w:type="dxa"/>
                </w:tcPr>
                <w:p w14:paraId="7ECCE3CA" w14:textId="77777777" w:rsidR="00B270AF" w:rsidRPr="004506DA" w:rsidRDefault="00B270AF" w:rsidP="008138C6">
                  <w:pPr>
                    <w:jc w:val="both"/>
                    <w:rPr>
                      <w:rFonts w:ascii="Times New Roman" w:eastAsia="Times New Roman" w:hAnsi="Times New Roman" w:cs="Times New Roman"/>
                      <w:color w:val="000000"/>
                    </w:rPr>
                  </w:pPr>
                </w:p>
              </w:tc>
              <w:tc>
                <w:tcPr>
                  <w:tcW w:w="15805" w:type="dxa"/>
                </w:tcPr>
                <w:p w14:paraId="154BAD74" w14:textId="77777777" w:rsidR="00B270AF" w:rsidRPr="004506DA" w:rsidRDefault="00B270AF" w:rsidP="008138C6">
                  <w:pPr>
                    <w:jc w:val="both"/>
                    <w:rPr>
                      <w:rFonts w:ascii="Times New Roman" w:eastAsia="Times New Roman" w:hAnsi="Times New Roman" w:cs="Times New Roman"/>
                      <w:color w:val="000000"/>
                    </w:rPr>
                  </w:pPr>
                </w:p>
              </w:tc>
            </w:tr>
            <w:tr w:rsidR="00B270AF" w:rsidRPr="004506DA" w14:paraId="4795F3DB" w14:textId="77777777" w:rsidTr="00B270AF">
              <w:tc>
                <w:tcPr>
                  <w:tcW w:w="3850" w:type="dxa"/>
                </w:tcPr>
                <w:p w14:paraId="2AA56F33" w14:textId="08C87735"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Prevenirea și controlul poluării aerului, apei sau solului</w:t>
                  </w:r>
                </w:p>
              </w:tc>
              <w:tc>
                <w:tcPr>
                  <w:tcW w:w="900" w:type="dxa"/>
                </w:tcPr>
                <w:p w14:paraId="27A7D1E5" w14:textId="2A265FC4"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810" w:type="dxa"/>
                </w:tcPr>
                <w:p w14:paraId="6C2BF3EA" w14:textId="77777777" w:rsidR="00B270AF" w:rsidRPr="004506DA" w:rsidRDefault="00B270AF" w:rsidP="008138C6">
                  <w:pPr>
                    <w:jc w:val="both"/>
                    <w:rPr>
                      <w:rFonts w:ascii="Times New Roman" w:eastAsia="Times New Roman" w:hAnsi="Times New Roman" w:cs="Times New Roman"/>
                      <w:color w:val="000000"/>
                    </w:rPr>
                  </w:pPr>
                </w:p>
              </w:tc>
              <w:tc>
                <w:tcPr>
                  <w:tcW w:w="15805" w:type="dxa"/>
                </w:tcPr>
                <w:p w14:paraId="6D393AE9" w14:textId="77777777" w:rsidR="00B270AF" w:rsidRPr="004506DA" w:rsidRDefault="00B270AF" w:rsidP="008138C6">
                  <w:pPr>
                    <w:jc w:val="both"/>
                    <w:rPr>
                      <w:rFonts w:ascii="Times New Roman" w:eastAsia="Times New Roman" w:hAnsi="Times New Roman" w:cs="Times New Roman"/>
                      <w:color w:val="000000"/>
                    </w:rPr>
                  </w:pPr>
                </w:p>
              </w:tc>
            </w:tr>
            <w:tr w:rsidR="00B270AF" w:rsidRPr="004506DA" w14:paraId="465FDD13" w14:textId="77777777" w:rsidTr="00B270AF">
              <w:tc>
                <w:tcPr>
                  <w:tcW w:w="3850" w:type="dxa"/>
                </w:tcPr>
                <w:p w14:paraId="441FE910" w14:textId="163E54E7"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Protecția și refacerea biodiversității și a ecosistemelor</w:t>
                  </w:r>
                </w:p>
              </w:tc>
              <w:tc>
                <w:tcPr>
                  <w:tcW w:w="900" w:type="dxa"/>
                </w:tcPr>
                <w:p w14:paraId="173CDF8F" w14:textId="1D34BDFE" w:rsidR="00B270AF" w:rsidRPr="004506DA" w:rsidRDefault="00E922EF" w:rsidP="008138C6">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810" w:type="dxa"/>
                </w:tcPr>
                <w:p w14:paraId="15593523" w14:textId="77777777" w:rsidR="00B270AF" w:rsidRPr="004506DA" w:rsidRDefault="00B270AF" w:rsidP="008138C6">
                  <w:pPr>
                    <w:jc w:val="both"/>
                    <w:rPr>
                      <w:rFonts w:ascii="Times New Roman" w:eastAsia="Times New Roman" w:hAnsi="Times New Roman" w:cs="Times New Roman"/>
                      <w:color w:val="000000"/>
                    </w:rPr>
                  </w:pPr>
                </w:p>
              </w:tc>
              <w:tc>
                <w:tcPr>
                  <w:tcW w:w="15805" w:type="dxa"/>
                </w:tcPr>
                <w:p w14:paraId="1A583E6F" w14:textId="77777777" w:rsidR="00B270AF" w:rsidRPr="004506DA" w:rsidRDefault="00B270AF" w:rsidP="008138C6">
                  <w:pPr>
                    <w:jc w:val="both"/>
                    <w:rPr>
                      <w:rFonts w:ascii="Times New Roman" w:eastAsia="Times New Roman" w:hAnsi="Times New Roman" w:cs="Times New Roman"/>
                      <w:color w:val="000000"/>
                    </w:rPr>
                  </w:pPr>
                </w:p>
              </w:tc>
            </w:tr>
          </w:tbl>
          <w:p w14:paraId="530C5B87" w14:textId="77777777" w:rsidR="00B270AF" w:rsidRPr="004506DA" w:rsidRDefault="00B270AF" w:rsidP="008138C6">
            <w:pPr>
              <w:spacing w:after="0" w:line="240" w:lineRule="auto"/>
              <w:jc w:val="both"/>
              <w:rPr>
                <w:rFonts w:ascii="Times New Roman" w:eastAsia="Times New Roman" w:hAnsi="Times New Roman" w:cs="Times New Roman"/>
                <w:color w:val="000000"/>
                <w:sz w:val="16"/>
                <w:szCs w:val="16"/>
                <w:lang w:val="ro-RO"/>
              </w:rPr>
            </w:pPr>
          </w:p>
          <w:p w14:paraId="1697B797" w14:textId="77777777" w:rsidR="00B270AF" w:rsidRPr="004506DA" w:rsidRDefault="00B270AF" w:rsidP="008138C6">
            <w:pPr>
              <w:spacing w:after="0" w:line="240" w:lineRule="auto"/>
              <w:jc w:val="both"/>
              <w:rPr>
                <w:rFonts w:ascii="Times New Roman" w:eastAsia="Times New Roman" w:hAnsi="Times New Roman" w:cs="Times New Roman"/>
                <w:color w:val="000000"/>
                <w:sz w:val="16"/>
                <w:szCs w:val="16"/>
                <w:lang w:val="ro-RO"/>
              </w:rPr>
            </w:pPr>
          </w:p>
          <w:p w14:paraId="7D5BC4A7" w14:textId="77777777" w:rsidR="00B270AF" w:rsidRPr="004506DA" w:rsidRDefault="00B270AF" w:rsidP="008138C6">
            <w:pPr>
              <w:spacing w:after="0" w:line="240" w:lineRule="auto"/>
              <w:jc w:val="both"/>
              <w:rPr>
                <w:rFonts w:ascii="Times New Roman" w:eastAsia="Times New Roman" w:hAnsi="Times New Roman" w:cs="Times New Roman"/>
                <w:color w:val="000000"/>
                <w:sz w:val="16"/>
                <w:szCs w:val="16"/>
                <w:lang w:val="ro-RO"/>
              </w:rPr>
            </w:pPr>
          </w:p>
          <w:p w14:paraId="71EEA516"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1622EAD5" w14:textId="4B2AA587" w:rsidR="00E922EF" w:rsidRPr="004506DA" w:rsidRDefault="00E922EF" w:rsidP="008138C6">
            <w:pPr>
              <w:spacing w:after="0" w:line="240" w:lineRule="auto"/>
              <w:jc w:val="both"/>
              <w:rPr>
                <w:rFonts w:ascii="Times New Roman" w:eastAsia="Times New Roman" w:hAnsi="Times New Roman" w:cs="Times New Roman"/>
                <w:i/>
                <w:iCs/>
                <w:color w:val="0070C0"/>
                <w:lang w:val="ro-RO"/>
              </w:rPr>
            </w:pPr>
            <w:r w:rsidRPr="004506DA">
              <w:rPr>
                <w:rFonts w:ascii="Times New Roman" w:eastAsia="Times New Roman" w:hAnsi="Times New Roman" w:cs="Times New Roman"/>
                <w:i/>
                <w:iCs/>
                <w:color w:val="0070C0"/>
                <w:lang w:val="ro-RO"/>
              </w:rPr>
              <w:t>Partea 2 a grilei de evaluare</w:t>
            </w:r>
          </w:p>
          <w:p w14:paraId="5BABD912"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tbl>
            <w:tblPr>
              <w:tblStyle w:val="TableGrid"/>
              <w:tblW w:w="0" w:type="auto"/>
              <w:tblLook w:val="04A0" w:firstRow="1" w:lastRow="0" w:firstColumn="1" w:lastColumn="0" w:noHBand="0" w:noVBand="1"/>
            </w:tblPr>
            <w:tblGrid>
              <w:gridCol w:w="3850"/>
              <w:gridCol w:w="810"/>
              <w:gridCol w:w="15805"/>
            </w:tblGrid>
            <w:tr w:rsidR="00E922EF" w:rsidRPr="004506DA" w14:paraId="25EC566A" w14:textId="77777777" w:rsidTr="00E922EF">
              <w:tc>
                <w:tcPr>
                  <w:tcW w:w="3850" w:type="dxa"/>
                  <w:shd w:val="clear" w:color="auto" w:fill="D0CECE" w:themeFill="background2" w:themeFillShade="E6"/>
                </w:tcPr>
                <w:p w14:paraId="2DCDA0EC" w14:textId="0861BC22"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Întrebări</w:t>
                  </w:r>
                </w:p>
              </w:tc>
              <w:tc>
                <w:tcPr>
                  <w:tcW w:w="810" w:type="dxa"/>
                  <w:shd w:val="clear" w:color="auto" w:fill="D0CECE" w:themeFill="background2" w:themeFillShade="E6"/>
                </w:tcPr>
                <w:p w14:paraId="4855403B" w14:textId="182550D2"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Nu</w:t>
                  </w:r>
                </w:p>
              </w:tc>
              <w:tc>
                <w:tcPr>
                  <w:tcW w:w="15805" w:type="dxa"/>
                  <w:shd w:val="clear" w:color="auto" w:fill="D0CECE" w:themeFill="background2" w:themeFillShade="E6"/>
                </w:tcPr>
                <w:p w14:paraId="098DF493" w14:textId="23692284"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Justificare de fond</w:t>
                  </w:r>
                </w:p>
              </w:tc>
            </w:tr>
            <w:tr w:rsidR="00E922EF" w:rsidRPr="004506DA" w14:paraId="37A77EE1" w14:textId="77777777" w:rsidTr="00236109">
              <w:tc>
                <w:tcPr>
                  <w:tcW w:w="3850" w:type="dxa"/>
                </w:tcPr>
                <w:p w14:paraId="2F801A76"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Utilizarea durabilă și protecția resurselor de apă și marine: Se preconizează că măsura va fi dăunătoare:</w:t>
                  </w:r>
                </w:p>
                <w:p w14:paraId="6083F349"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(i) starea bună sau potențialul ecologic bun al corpurilor de apă, inclusiv al apelor de suprafață și al apelor subterane; sau</w:t>
                  </w:r>
                </w:p>
                <w:p w14:paraId="76BBDE05" w14:textId="4119303B"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(ii) la starea bună de mediu a apelor marine?</w:t>
                  </w:r>
                </w:p>
              </w:tc>
              <w:tc>
                <w:tcPr>
                  <w:tcW w:w="810" w:type="dxa"/>
                </w:tcPr>
                <w:p w14:paraId="08AE7716" w14:textId="3BF4CC19"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15805" w:type="dxa"/>
                </w:tcPr>
                <w:p w14:paraId="6DB1134C"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Pentru investiţiile prevăzute de această măsura se va demara procesul de evaluare a impactului asupra mediului, în conformitate cu prevederile Directivei 2014/52/UE a Parlamentului European și a Consiliului, de modificare a Directivei 2011/92/UE privind evaluarea efectelor anumitor proiecte publice și private asupra mediului, transpusă în legislaţia naţională prin Legea nr. 292/2018 privind evaluarea impactului anumitor proiecte publice şi private asupra mediului.</w:t>
                  </w:r>
                </w:p>
                <w:p w14:paraId="3D3E305D"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cadrul etapei de evaluare iniţială a proiectelor de către autorităţile competente pentru protecţia mediului, se va stabili inclusiv dacă acestea intră sub incidenţa prevederilor art. 48 (Lucrările care se construiesc pe ape sau care au legătura cu apele) şi 54 (emiterea Avizului de gospodărire a apelor) din Legea apelor nr. 107/1996, cu modificările şi completările ulterioare, după caz, în conformitate cu prevederile Legii nr. 292/2018 privind evaluarea impactului anumitor proiecte publice şi private asupra mediului (art. 8 alin. 2), respectiv ale Directivei 2014/52/UE a Parlamentului European și a Consiliului, de modificare a Directivei 2011/92/UE privind evaluarea efectelor anumitor proiecte publice și private asupra mediului.</w:t>
                  </w:r>
                </w:p>
                <w:p w14:paraId="15D22D0A"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Dacă este cazul, evaluarea impactului asupra resurselor de apă se va realiza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şi completarea anexei la Hotărârea Guvernului nr. 53/2009 pentru aprobarea Planului naţional de protecţie a apelor subterane împotriva poluării şi deteriorării și Ordinul nr. 621 din 7 iulie 2014 privind aprobarea valorilor de prag pentru apele subterane din România.</w:t>
                  </w:r>
                </w:p>
                <w:p w14:paraId="3B169686"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etapa de execuţie a lucrărilor de construire/montaj, 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echipamentele și instalaţiile utilizate, depozitarea corectă, în conformitate cu normele specifice, instruirea periodică a tuturor lucrătorilor de la fața locului vor asigura eliminarea efectelor negative menționate.</w:t>
                  </w:r>
                </w:p>
                <w:p w14:paraId="281B3AB2" w14:textId="6C996DDD" w:rsidR="00E922EF"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situaţia respectării tuturor condiţiilor ce vor fi stabilite de autoritatea competentă pentru protecţia mediului, după caz, se apreciază că implementarea și operarea investiției nu implică riscuri de degradare a mediului legate de păstrarea calității apei sau de accentuarea deficitului de apă, în concordanţă cu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w:t>
                  </w:r>
                </w:p>
              </w:tc>
            </w:tr>
            <w:tr w:rsidR="00E922EF" w:rsidRPr="004506DA" w14:paraId="27937E6E" w14:textId="77777777" w:rsidTr="00236109">
              <w:tc>
                <w:tcPr>
                  <w:tcW w:w="3850" w:type="dxa"/>
                </w:tcPr>
                <w:p w14:paraId="0A46FD54"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Tranziția către o economie circulară, inclusiv prevenirea generării de deșeuri și reciclarea acestora:</w:t>
                  </w:r>
                </w:p>
                <w:p w14:paraId="60712E6B"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 Se preconizează că măsura:</w:t>
                  </w:r>
                </w:p>
                <w:p w14:paraId="24287845" w14:textId="19507589"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(i) va duce la o creștere semnificativă a generării, a incinerării sau a eliminării deșeurilor, cu excepția incinerării deșeurilor periculoase nereciclabile sau</w:t>
                  </w:r>
                </w:p>
                <w:p w14:paraId="3F9AA77D"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(ii) va duce la ineficiențe semnificative în utilizarea directă sau indirectă a oricăror resurse naturale în orice etapă a ciclului său de viață, care nu sunt reduse la minimum prin măsuri adecvate sau</w:t>
                  </w:r>
                </w:p>
                <w:p w14:paraId="2FBB4AC4" w14:textId="2B1837A2"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(iii) va cauza prejudicii semnificative și pe termen lung mediului în ceea ce privește economia circulară?</w:t>
                  </w:r>
                </w:p>
              </w:tc>
              <w:tc>
                <w:tcPr>
                  <w:tcW w:w="810" w:type="dxa"/>
                </w:tcPr>
                <w:p w14:paraId="31F7D8C6" w14:textId="39469EF8"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X</w:t>
                  </w:r>
                </w:p>
              </w:tc>
              <w:tc>
                <w:tcPr>
                  <w:tcW w:w="15805" w:type="dxa"/>
                </w:tcPr>
                <w:p w14:paraId="1AE0EBB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cazul acestei măsuri, se estimează că deșeurile vor proveni în principal ca urmare a lucrărilor de construcție/montaj şi din etapa de dezafectare (la finalul perioadei de viaţă a acestor investiţii).</w:t>
                  </w:r>
                </w:p>
                <w:p w14:paraId="41BF0BB7" w14:textId="41BEA982"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ceea ce privește echipamentele/instalaţiile utilizate în noi capacități pentru producția de electricitate din surse regenerabile (eolian și solar</w:t>
                  </w:r>
                  <w:r w:rsidR="00EE0272" w:rsidRPr="004506DA">
                    <w:rPr>
                      <w:rFonts w:ascii="Times New Roman" w:eastAsia="Times New Roman" w:hAnsi="Times New Roman" w:cs="Times New Roman"/>
                      <w:color w:val="000000"/>
                    </w:rPr>
                    <w:t>, precum și bateriile destinate stocării de energie</w:t>
                  </w:r>
                  <w:r w:rsidRPr="004506DA">
                    <w:rPr>
                      <w:rFonts w:ascii="Times New Roman" w:eastAsia="Times New Roman" w:hAnsi="Times New Roman" w:cs="Times New Roman"/>
                      <w:color w:val="000000"/>
                    </w:rPr>
                    <w:t>), se va evalua disponibilitatea și, acolo unde este posibil, se vor utiliza echipamente și componente cu durabilitate și reciclabilitate ridicate, care pot fi demontate și pregătite pentru reciclare în mod facil.</w:t>
                  </w:r>
                </w:p>
                <w:p w14:paraId="29C7A8D1"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Activitatea evaluează disponibilitatea echipamentelor și a componentelor care au un grad ridicat de durabilitate și o capacitate mare de reciclare și care sunt ușor de demontat și recondiționat și, dacă este posibil, utilizează astfel de echipamente și componente. Există un plan de gestionare a deșeurilor care asigură reutilizarea, refabricarea sau reciclarea maximă la sfârșitul ciclului de viață, inclusiv prin acorduri contractuale cu parteneri din domeniul gestionării deșeurilor, prin reflectarea în proiecții financiare sau prin documentația oficială a proiectului.</w:t>
                  </w:r>
                </w:p>
                <w:p w14:paraId="6BA43483"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 Astfel, se va menţine evidenţa gestiunii deşeurilor OUG 92/2021 privind regimul deşeurilor,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157F7696"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55F508AC"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345A807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0EFED768"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37F0CB56" w14:textId="77777777" w:rsidR="00E922EF"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De asemenea, toţi angajaţii care realizează lucrările vor fi instruiţi cu privire la manipularea deşeurilor, precum şi la modul de sortare a acestora pe categorii, în containerele special prevăzute pentru fiecare categorie de deşeu.</w:t>
                  </w:r>
                </w:p>
                <w:p w14:paraId="5269928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Deşeurile de echipamente electrice și electronice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3726DFB8"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Deșeurile rezultate din activitățile de întreținere vor fi cele legate în primul rând de reparațiile curente, care vor fi gestionate similar cu deşeurile generate în perioada de construcţie/montaj.</w:t>
                  </w:r>
                </w:p>
                <w:p w14:paraId="696162CB"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Raportarea către autorităţile de mediu se va face în conformitate cu prevederile legislaţiei specifice.</w:t>
                  </w:r>
                </w:p>
                <w:p w14:paraId="0C43FED2" w14:textId="5817F47D"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Având în vedere cele de mai sus, se estimează că proiectele de investiţii nu vor afecta în mod semnificativ obiectivul de mediu privind tranziţia către o economie circulară, inclusiv prevenirea și reciclarea, întrucȃt deșeurile generate vor fi în mare măsură sortate, reciclate și reutilizate, iar resursele naturale vor fi utilizate în mod eficient, cu respectarea prevederilor legale în vigoare.</w:t>
                  </w:r>
                </w:p>
              </w:tc>
            </w:tr>
            <w:tr w:rsidR="00E922EF" w:rsidRPr="004506DA" w14:paraId="2B2262A6" w14:textId="77777777" w:rsidTr="00236109">
              <w:tc>
                <w:tcPr>
                  <w:tcW w:w="3850" w:type="dxa"/>
                </w:tcPr>
                <w:p w14:paraId="3B3B2E00"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Prevenirea și controlul poluării:</w:t>
                  </w:r>
                </w:p>
                <w:p w14:paraId="60660804" w14:textId="68607F34"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Se preconizează că măsura va duce la o creștere semnificativă a emisiilor de poluanți în aer, apă sau sol?</w:t>
                  </w:r>
                </w:p>
              </w:tc>
              <w:tc>
                <w:tcPr>
                  <w:tcW w:w="810" w:type="dxa"/>
                </w:tcPr>
                <w:p w14:paraId="6EDC86B1" w14:textId="654D594C"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15805" w:type="dxa"/>
                </w:tcPr>
                <w:p w14:paraId="1B1ADC86" w14:textId="77777777" w:rsidR="004A4362" w:rsidRPr="004506DA" w:rsidRDefault="004A4362" w:rsidP="004A4362">
                  <w:pPr>
                    <w:jc w:val="both"/>
                    <w:rPr>
                      <w:rFonts w:ascii="Times New Roman" w:eastAsia="Times New Roman" w:hAnsi="Times New Roman" w:cs="Times New Roman"/>
                      <w:i/>
                      <w:iCs/>
                      <w:color w:val="000000"/>
                    </w:rPr>
                  </w:pPr>
                  <w:r w:rsidRPr="004506DA">
                    <w:rPr>
                      <w:rFonts w:ascii="Times New Roman" w:eastAsia="Times New Roman" w:hAnsi="Times New Roman" w:cs="Times New Roman"/>
                      <w:i/>
                      <w:iCs/>
                      <w:color w:val="000000"/>
                    </w:rPr>
                    <w:t>Aer</w:t>
                  </w:r>
                </w:p>
                <w:p w14:paraId="21822FF9" w14:textId="77777777" w:rsidR="00EE0272" w:rsidRPr="004506DA" w:rsidRDefault="00EE0272" w:rsidP="004A4362">
                  <w:pPr>
                    <w:jc w:val="both"/>
                    <w:rPr>
                      <w:rFonts w:ascii="Times New Roman" w:eastAsia="Times New Roman" w:hAnsi="Times New Roman" w:cs="Times New Roman"/>
                      <w:i/>
                      <w:iCs/>
                      <w:color w:val="000000"/>
                    </w:rPr>
                  </w:pPr>
                </w:p>
                <w:p w14:paraId="708AAE29" w14:textId="52F3861F"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Măsura privind investițiile în noi capacități pentru producția de electricitate din surse regenerabile (eolian și solar) se încadrează în domeniile de intervenție 047-Energie din surse regenerabile: energia eoliană, 048- Energie din surse regenerabile: energia solară, 052 - Alte forme de energie din surse regenerabile (inclusiv energia geotermică). Acestea au un procent de contribuție de 100% la obiectivul de schimbări climatice și respectiv de 40% la cel de mediu, sprijinind trecerea la o economie neutră din punct de vedere climatic. În etapa de operare, aceste capacităţi nu doar că nu emit CO2 eq, ci vor contribui la decarbonarea producției de energie electrică.</w:t>
                  </w:r>
                  <w:r w:rsidR="00EE0272" w:rsidRPr="004506DA">
                    <w:rPr>
                      <w:rFonts w:ascii="Times New Roman" w:eastAsia="Times New Roman" w:hAnsi="Times New Roman" w:cs="Times New Roman"/>
                      <w:color w:val="000000"/>
                    </w:rPr>
                    <w:t xml:space="preserve"> Instalarea capacitățile se stocare va avea un impact pozitiv în procesul de decarbonare și eficientizare a consumurilor de energie. </w:t>
                  </w:r>
                </w:p>
                <w:p w14:paraId="13483E8D"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Măsura contribuie la îndeplinirea țintelor din Planul Național Integrat în domeniul Energiei și Schimbărilor Climatice 2021-2030 (PNIESC), sprijinind creșterea ponderii energiei din surse regenerabile în cadrul mixului energetic național.</w:t>
                  </w:r>
                </w:p>
                <w:p w14:paraId="5594712D"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perioada de construcţie/montaj a capacităţilor/instalaţiilor, se estimează că emisiile de poluanţi atmosferici vor fi generate ca urmare a realizării lucrărilor propriu-zise de construire/ montaj.</w:t>
                  </w:r>
                </w:p>
                <w:p w14:paraId="3AC6AFE7"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 lângă emisiile din frontul de lucru, activitatea de realizare a lucrărilor de construcţii /montaj include deopotrivă şi surse mobile de emisii, reprezentate de utilajele necesare desfăşurării lucrărilor, de vehiculele care vor asigura transportul materialelor/echipamentelor/instalaţiilor, precum şi de vehiculele pentru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admise, este temporară (în timpul executării lucrărilor), intermitentă (în funcţie de programul de lucru şi de graficul lucrărilor), și nu este concentrată doar în frontul de lucru (unele surse sunt mobile), nefiind de natură să afecteze semnificativ acest obiectiv de mediu.</w:t>
                  </w:r>
                </w:p>
                <w:p w14:paraId="7357019D"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Pentru întreţinerea şi dezafectarea capacităţilor/instalaţilor, sursele de impurificare a aerului vor fi similare cu cele din etapa de construcţie/montaj, lucrările fiind realizate cu aceleaşi tipuri de utilaje, iar impactul acestora va fi nesemnificativ.</w:t>
                  </w:r>
                </w:p>
                <w:p w14:paraId="7E7CA0F8" w14:textId="3BEA0C52" w:rsidR="00E922EF"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Pentru exploatarea sistemelor de energie geotermală cu entalpie ridicată sunt instituite sisteme adecvate de reducere a nivelului emisiilor, pentru a respecta valorile-limită pentru calitătea aerului stabilite în Directiva 2004/107/CE a Parlamentului European și a Consiliului și în Directiva 2008/50/CE a Parlamentului European și a Consiliului.</w:t>
                  </w:r>
                </w:p>
                <w:p w14:paraId="23022F69" w14:textId="77777777" w:rsidR="00EE0272" w:rsidRPr="004506DA" w:rsidRDefault="00EE0272" w:rsidP="004A4362">
                  <w:pPr>
                    <w:jc w:val="both"/>
                    <w:rPr>
                      <w:rFonts w:ascii="Times New Roman" w:eastAsia="Times New Roman" w:hAnsi="Times New Roman" w:cs="Times New Roman"/>
                      <w:color w:val="000000"/>
                    </w:rPr>
                  </w:pPr>
                </w:p>
                <w:p w14:paraId="730BFCF4" w14:textId="77777777" w:rsidR="004A4362" w:rsidRPr="004506DA" w:rsidRDefault="004A4362" w:rsidP="004A4362">
                  <w:pPr>
                    <w:jc w:val="both"/>
                    <w:rPr>
                      <w:rFonts w:ascii="Times New Roman" w:eastAsia="Times New Roman" w:hAnsi="Times New Roman" w:cs="Times New Roman"/>
                      <w:i/>
                      <w:iCs/>
                      <w:color w:val="000000"/>
                    </w:rPr>
                  </w:pPr>
                  <w:r w:rsidRPr="004506DA">
                    <w:rPr>
                      <w:rFonts w:ascii="Times New Roman" w:eastAsia="Times New Roman" w:hAnsi="Times New Roman" w:cs="Times New Roman"/>
                      <w:i/>
                      <w:iCs/>
                      <w:color w:val="000000"/>
                    </w:rPr>
                    <w:t>Apă</w:t>
                  </w:r>
                </w:p>
                <w:p w14:paraId="7699DBCB" w14:textId="77777777" w:rsidR="00EE0272" w:rsidRPr="004506DA" w:rsidRDefault="00EE0272" w:rsidP="004A4362">
                  <w:pPr>
                    <w:jc w:val="both"/>
                    <w:rPr>
                      <w:rFonts w:ascii="Times New Roman" w:eastAsia="Times New Roman" w:hAnsi="Times New Roman" w:cs="Times New Roman"/>
                      <w:color w:val="000000"/>
                    </w:rPr>
                  </w:pPr>
                </w:p>
                <w:p w14:paraId="2DF4192C"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 parcursul etapei de execuţie se vor lua măsurile necesare astfel încât deșeurile rezultate, precum și materialele necesare pentru construire/ montaj, să fie corect depozitate pentru a se evita infiltraţiile în stratul acvifer sau în apele de suprafaţă, ca urmare a antrenării acestora de către apele pluviale sau de către vânt.</w:t>
                  </w:r>
                </w:p>
                <w:p w14:paraId="087682A2"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Se va asigura instruirea periodică a tuturor lucrătorilor de la fața locului pentru a se asigura evitarea scurgerilor accidentale de substanţe chimice, carburanţi şi uleiuri provenite de la funcţionarea utilajelor implicate în lucrările de construcţie/ montaj sau datorate manevrării defectuoase a autovehiculelor de transport.</w:t>
                  </w:r>
                </w:p>
                <w:p w14:paraId="457E2591"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Funcţionarea unor utilaje ce utilizează motoare cu combustie internă în preajma corpurilor de apă reprezintă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137405AB"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mod concret, măsurile ce vor fi avute în vedere pentru reducerea/eliminarea poluării apelor în perioada de construcţie sunt:</w:t>
                  </w:r>
                </w:p>
                <w:p w14:paraId="650A2A5D" w14:textId="0DFF46C1" w:rsidR="004A4362" w:rsidRPr="004506DA" w:rsidRDefault="004A4362" w:rsidP="00FA1D0A">
                  <w:pPr>
                    <w:pStyle w:val="ListParagraph"/>
                    <w:numPr>
                      <w:ilvl w:val="0"/>
                      <w:numId w:val="3"/>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utilajele să nu aibă pierderi (scurgeri) de carburanți sau lubrifianţi;</w:t>
                  </w:r>
                </w:p>
                <w:p w14:paraId="5208294C" w14:textId="154A1409" w:rsidR="004A4362" w:rsidRPr="004506DA" w:rsidRDefault="004A4362" w:rsidP="00FA1D0A">
                  <w:pPr>
                    <w:pStyle w:val="ListParagraph"/>
                    <w:numPr>
                      <w:ilvl w:val="0"/>
                      <w:numId w:val="3"/>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în cazul intervenției la utilaje pentru reparare, acestea vor fi retrase în zona organizării de șantier unde se vor lua toate măsurile de protecţie a mediului în timpul efectuării reparațiilor;</w:t>
                  </w:r>
                </w:p>
                <w:p w14:paraId="1E251796" w14:textId="55EF6067" w:rsidR="004A4362" w:rsidRPr="004506DA" w:rsidRDefault="004A4362" w:rsidP="00FA1D0A">
                  <w:pPr>
                    <w:pStyle w:val="ListParagraph"/>
                    <w:numPr>
                      <w:ilvl w:val="0"/>
                      <w:numId w:val="3"/>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se interzice depozitarea deșeurilor rezultate din activitate și a celor menajere la întâmplare; acestea vor fi colectate și transportate la organizarea de şantier a antreprenorului, unde vor fi depozitate în locurile special amenajate și preluate de către societăți autorizate.</w:t>
                  </w:r>
                </w:p>
                <w:p w14:paraId="10069A3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etapa de operare şi de dezafectare a capacităţilor/instalaţiilor, potenţialele surse de poluare a apei vor fi similare cu cele din etapa de construcţie/montaj, lucrările fiind realizate cu aceleaşi tipuri de utilaje.</w:t>
                  </w:r>
                </w:p>
                <w:p w14:paraId="6856860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Se estimează că măsura nu va conduce la o creştere semnificativă a poluanţilor în apele de suprafaţă sau/şi în cele subterane.</w:t>
                  </w:r>
                </w:p>
                <w:p w14:paraId="7E1B085F" w14:textId="77777777" w:rsidR="00EE0272" w:rsidRPr="004506DA" w:rsidRDefault="00EE0272" w:rsidP="004A4362">
                  <w:pPr>
                    <w:jc w:val="both"/>
                    <w:rPr>
                      <w:rFonts w:ascii="Times New Roman" w:eastAsia="Times New Roman" w:hAnsi="Times New Roman" w:cs="Times New Roman"/>
                      <w:color w:val="000000"/>
                    </w:rPr>
                  </w:pPr>
                </w:p>
                <w:p w14:paraId="5A605272" w14:textId="77777777" w:rsidR="004A4362" w:rsidRPr="004506DA" w:rsidRDefault="004A4362" w:rsidP="004A4362">
                  <w:pPr>
                    <w:jc w:val="both"/>
                    <w:rPr>
                      <w:rFonts w:ascii="Times New Roman" w:eastAsia="Times New Roman" w:hAnsi="Times New Roman" w:cs="Times New Roman"/>
                      <w:i/>
                      <w:iCs/>
                      <w:color w:val="000000"/>
                    </w:rPr>
                  </w:pPr>
                  <w:r w:rsidRPr="004506DA">
                    <w:rPr>
                      <w:rFonts w:ascii="Times New Roman" w:eastAsia="Times New Roman" w:hAnsi="Times New Roman" w:cs="Times New Roman"/>
                      <w:i/>
                      <w:iCs/>
                      <w:color w:val="000000"/>
                    </w:rPr>
                    <w:t>Protecţia solului şi subsolului</w:t>
                  </w:r>
                </w:p>
                <w:p w14:paraId="6B04FBD4" w14:textId="77777777" w:rsidR="00EE0272" w:rsidRPr="004506DA" w:rsidRDefault="00EE0272" w:rsidP="004A4362">
                  <w:pPr>
                    <w:jc w:val="both"/>
                    <w:rPr>
                      <w:rFonts w:ascii="Times New Roman" w:eastAsia="Times New Roman" w:hAnsi="Times New Roman" w:cs="Times New Roman"/>
                      <w:color w:val="000000"/>
                    </w:rPr>
                  </w:pPr>
                </w:p>
                <w:p w14:paraId="3C47B71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perioada de construire/ montaj, condițiile de contractare a lucrărilor vor include măsuri specifice pentru gestionarea deșeurilor generate la fața locului, pentru a evita poluarea solului.</w:t>
                  </w:r>
                </w:p>
                <w:p w14:paraId="2647680A"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Materiile prime/echipamentele/instalaţiile vor fi depozitate pe amplasamentul organizărilor de şantier în cantităţi reduse, prin gestiunea clară/controlată a necesităţilor pentru fiecare etapă. Acestea vor fi transportate etapizat şi puse imediat în operă, reducând la minim efectele negative cauzate de transportul și/sau depozitarea acestora.</w:t>
                  </w:r>
                </w:p>
                <w:p w14:paraId="1C6EFF1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mod concret, în etapa de construcţie se vor lua următoarele măsuri:</w:t>
                  </w:r>
                </w:p>
                <w:p w14:paraId="693C8BFD" w14:textId="45239163" w:rsidR="004A4362" w:rsidRPr="004506DA" w:rsidRDefault="004A4362" w:rsidP="00FA1D0A">
                  <w:pPr>
                    <w:pStyle w:val="ListParagraph"/>
                    <w:numPr>
                      <w:ilvl w:val="0"/>
                      <w:numId w:val="4"/>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Se va evita/interzice poluarea solului cu carburanți, uleiuri uzate de la utilajele și mijloacele de transport utilizate pentru executarea lucrărilor;</w:t>
                  </w:r>
                </w:p>
                <w:p w14:paraId="0559E831" w14:textId="008D5577" w:rsidR="004A4362" w:rsidRPr="004506DA" w:rsidRDefault="004A4362" w:rsidP="00FA1D0A">
                  <w:pPr>
                    <w:pStyle w:val="ListParagraph"/>
                    <w:numPr>
                      <w:ilvl w:val="0"/>
                      <w:numId w:val="4"/>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Pe durata lucrărilor nu se vor arunca, incinera, depozita pe sol și nici nu se vor îngropa deșeuri menajere; deșeurile se vor depozita separat pe categorii (hârtie, ambalaje din polietilenă, metale etc) în recipiente sau containere destinate colectării acestora;</w:t>
                  </w:r>
                </w:p>
                <w:p w14:paraId="6F0EEEEF" w14:textId="4914692E" w:rsidR="004A4362" w:rsidRPr="004506DA" w:rsidRDefault="004A4362" w:rsidP="00FA1D0A">
                  <w:pPr>
                    <w:pStyle w:val="ListParagraph"/>
                    <w:numPr>
                      <w:ilvl w:val="0"/>
                      <w:numId w:val="4"/>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2AF13738"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etapa de operare şi de dezafectare a capacităţilor/instalaţiilor, potenţialele surse de poluare a solului/subsolului vor fi similare cu cele din etapa de construcţie/montaj, lucrările fiind realizate cu aceleaşi tipuri de utilaje.</w:t>
                  </w:r>
                </w:p>
                <w:p w14:paraId="02E02482"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Se estimează că măsura nu va conduce la o creştere semnificativă a poluanţilor în sol/subsol.</w:t>
                  </w:r>
                </w:p>
                <w:p w14:paraId="51E2CF61" w14:textId="77777777" w:rsidR="00EE0272" w:rsidRPr="004506DA" w:rsidRDefault="00EE0272" w:rsidP="004A4362">
                  <w:pPr>
                    <w:jc w:val="both"/>
                    <w:rPr>
                      <w:rFonts w:ascii="Times New Roman" w:eastAsia="Times New Roman" w:hAnsi="Times New Roman" w:cs="Times New Roman"/>
                      <w:color w:val="000000"/>
                    </w:rPr>
                  </w:pPr>
                </w:p>
                <w:p w14:paraId="6BE53570" w14:textId="77777777" w:rsidR="004A4362" w:rsidRPr="004506DA" w:rsidRDefault="004A4362" w:rsidP="004A4362">
                  <w:pPr>
                    <w:jc w:val="both"/>
                    <w:rPr>
                      <w:rFonts w:ascii="Times New Roman" w:eastAsia="Times New Roman" w:hAnsi="Times New Roman" w:cs="Times New Roman"/>
                      <w:i/>
                      <w:iCs/>
                      <w:color w:val="000000"/>
                    </w:rPr>
                  </w:pPr>
                  <w:r w:rsidRPr="004506DA">
                    <w:rPr>
                      <w:rFonts w:ascii="Times New Roman" w:eastAsia="Times New Roman" w:hAnsi="Times New Roman" w:cs="Times New Roman"/>
                      <w:i/>
                      <w:iCs/>
                      <w:color w:val="000000"/>
                    </w:rPr>
                    <w:t>Zgomot și vibrații</w:t>
                  </w:r>
                </w:p>
                <w:p w14:paraId="136B9864" w14:textId="77777777" w:rsidR="00EE0272" w:rsidRPr="004506DA" w:rsidRDefault="00EE0272" w:rsidP="004A4362">
                  <w:pPr>
                    <w:jc w:val="both"/>
                    <w:rPr>
                      <w:rFonts w:ascii="Times New Roman" w:eastAsia="Times New Roman" w:hAnsi="Times New Roman" w:cs="Times New Roman"/>
                      <w:color w:val="000000"/>
                    </w:rPr>
                  </w:pPr>
                </w:p>
                <w:p w14:paraId="533FFBF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perioada de execuţie a lucrărilor proiectate, sursele de zgomot vor avea caracter şi durată temporare, se vor manifesta local şi intermitent și vor fi reprezentate în principal de:</w:t>
                  </w:r>
                </w:p>
                <w:p w14:paraId="58B1B08E" w14:textId="2F13F755" w:rsidR="004A4362" w:rsidRPr="004506DA" w:rsidRDefault="004A4362" w:rsidP="00FA1D0A">
                  <w:pPr>
                    <w:pStyle w:val="ListParagraph"/>
                    <w:numPr>
                      <w:ilvl w:val="0"/>
                      <w:numId w:val="5"/>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traficul auto din zona organizărilor de şantier şi de pe drumurile de acces către fronturile de lucru;</w:t>
                  </w:r>
                </w:p>
                <w:p w14:paraId="33CF2D86" w14:textId="2C045338" w:rsidR="004A4362" w:rsidRPr="004506DA" w:rsidRDefault="004A4362" w:rsidP="00FA1D0A">
                  <w:pPr>
                    <w:pStyle w:val="ListParagraph"/>
                    <w:numPr>
                      <w:ilvl w:val="0"/>
                      <w:numId w:val="5"/>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activităţile din fronturile de lucru, de excavare, de manevrare a materialelor/echipamentelor/instalaţiilor, respectiv de încărcare şi descărcare a acestora;</w:t>
                  </w:r>
                </w:p>
                <w:p w14:paraId="2E1243C6" w14:textId="3CF94EEE" w:rsidR="004A4362" w:rsidRPr="004506DA" w:rsidRDefault="004A4362" w:rsidP="00FA1D0A">
                  <w:pPr>
                    <w:pStyle w:val="ListParagraph"/>
                    <w:numPr>
                      <w:ilvl w:val="0"/>
                      <w:numId w:val="5"/>
                    </w:num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 xml:space="preserve"> funcţionarea utilajelor antrenate în procesul de construcţie/montaj.</w:t>
                  </w:r>
                </w:p>
                <w:p w14:paraId="0DBED175"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Având în vedere specificul lucrărilor, nu sunt aşteptate efecte semnificative asupra receptorilor sensibili, și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6C7636C4"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etapa de operare şi de dezafectare a capacităţilor/instalaţiilor, potenţialele surse de poluare - de zgomot și vibraţii nu le vor depăși pe cele din etapa de construcţie/ montaj.</w:t>
                  </w:r>
                </w:p>
                <w:p w14:paraId="0E1FDF10"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Pentru pompele de căldură aer-aer cu o capacitate nominală mai mică sau egală cu 12 kW, nivelurile de putere acustică în interior și în exterior sunt sub pragul stabilit în Regulamentul (UE) nr. 206/2012 al Comisiei.</w:t>
                  </w:r>
                </w:p>
                <w:p w14:paraId="77BD24FA"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În perioada de operare, capacităţile/instalaţiile ce folosesc energie eoliană vor fi astfel amplasate și operate încȃt să nu se înregistreze efecte semnificative asupra receptorilor sensibili. Pe baza concluziilor evaluărilor impactului asupra mediului, dar și a condiţionărilor din documentaţiile de urbanism și de amenajare a teritoriului, vor fi implementate măsurile necesare de atenuare a efectelor investiţiilor asupra acestui obiectiv de mediu.</w:t>
                  </w:r>
                </w:p>
                <w:p w14:paraId="1D283913" w14:textId="2E40858E"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Se estimează că măsura nu va conduce la o creştere semnificativă a nivelului poluării fonice.</w:t>
                  </w:r>
                </w:p>
              </w:tc>
            </w:tr>
            <w:tr w:rsidR="00E922EF" w:rsidRPr="004506DA" w14:paraId="165FC245" w14:textId="77777777" w:rsidTr="00236109">
              <w:tc>
                <w:tcPr>
                  <w:tcW w:w="3850" w:type="dxa"/>
                </w:tcPr>
                <w:p w14:paraId="0020F56E" w14:textId="77777777"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lastRenderedPageBreak/>
                    <w:t>Protecția și restaurarea biodiversității și a ecosistemelor: Se preconizează că măsura va fi:</w:t>
                  </w:r>
                </w:p>
                <w:p w14:paraId="612F3E7D" w14:textId="45FAA766"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(i) dăunează semnificativ bunei stări și rezistenței ecosistemelor; sau (ii) în detrimentul stării de conservare a habitatelor și speciilor, inclusiv a celor de interes al Uniunii?</w:t>
                  </w:r>
                </w:p>
              </w:tc>
              <w:tc>
                <w:tcPr>
                  <w:tcW w:w="810" w:type="dxa"/>
                </w:tcPr>
                <w:p w14:paraId="183A6487" w14:textId="6367A434" w:rsidR="00E922EF" w:rsidRPr="004506DA" w:rsidRDefault="00E922EF"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X</w:t>
                  </w:r>
                </w:p>
              </w:tc>
              <w:tc>
                <w:tcPr>
                  <w:tcW w:w="15805" w:type="dxa"/>
                </w:tcPr>
                <w:p w14:paraId="6DB512CB" w14:textId="77777777" w:rsidR="00E922EF" w:rsidRPr="004506DA" w:rsidRDefault="004A4362" w:rsidP="00E922EF">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Pentru investiţiile prevăzute de această măsura se va demara procesul de evaluare a impactului asupra mediului, în conformitate cu prevederile Directivei 2014/52/UE a Parlamentului European și a Consiliului, de modificare a Directivei 2011/92/UE privind evaluarea efectelor anumitor proiecte publice și private asupra mediului, transpusă în legislaţia naţională prin Legea nr. 292/2018 privind evaluarea impactului anumitor proiecte publice şi private asupra mediului.</w:t>
                  </w:r>
                </w:p>
                <w:p w14:paraId="0508C672"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După caz, ca urmare a parcurgerii etapelor procesului de evaluare a impactului asupra mediului, ce va fi realizat în conformitate cu prevederile Directivei 2014/52/UE a Parlamentului European și a Consiliului, de modificare a Directivei 2011/92/UE privind evaluarea efectelor anumitor proiecte publice și private asupra mediului se va stabili, de către autoritatea competentă pentru protecţia mediului, dacă se preconizează vreun efect semnificativ asupra acestui obiectiv de mediu, în conformitate cu prevederile Directivei 92/43/CEE a Consiliului privind conservarea habitatelor naturale și a speciilor de faună și floră sălbatică, respectiv dacă proiectele se supun sau nu evaluării adecvate.</w:t>
                  </w:r>
                </w:p>
                <w:p w14:paraId="3CB1A4C2"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În cazul în care investițiile aferente prezentei măsuri vor fi localizate în cadrul unor zone sensibile din punctul de vedere al biodiversității sau în apropierea acestora (inclusiv rețeaua de arii protejate Natura 2000, siturile naturale înscrise pe Lista patrimoniului mondial UNESCO și principalele zone de biodiversitate, precum și alte zone protejate etc), se va realiza evaluarea adecvată de mediu, în conformitate cu prevederile Directivei 92/43/CEE a Consiliului privind conservarea habitatelor naturale și a speciilor de faună și floră sălbatică, iar pe baza concluziilor acestei evaluări adecvate vor fi implementate măsurile necesare de atenuare a efectelor investiţiilor asupra acestui obiectiv de mediu.</w:t>
                  </w:r>
                </w:p>
                <w:p w14:paraId="060A79CD" w14:textId="77777777"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De asemenea, investițiile aferente prezentei măsuri nu vor afecta: terenuri arabile și terenuri cultivate cu un nivel moderat până la ridicat al fertilității solului și al biodiversității în sol,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p w14:paraId="132F3DBA" w14:textId="5AEF6059" w:rsidR="004A4362" w:rsidRPr="004506DA" w:rsidRDefault="004A4362" w:rsidP="004A4362">
                  <w:pPr>
                    <w:jc w:val="both"/>
                    <w:rPr>
                      <w:rFonts w:ascii="Times New Roman" w:eastAsia="Times New Roman" w:hAnsi="Times New Roman" w:cs="Times New Roman"/>
                      <w:color w:val="000000"/>
                    </w:rPr>
                  </w:pPr>
                  <w:r w:rsidRPr="004506DA">
                    <w:rPr>
                      <w:rFonts w:ascii="Times New Roman" w:eastAsia="Times New Roman" w:hAnsi="Times New Roman" w:cs="Times New Roman"/>
                      <w:color w:val="000000"/>
                    </w:rPr>
                    <w:t>Avȃnd în vedere cele de mai sus, se apreciază că măsura nu va avea un impact semnificativ asupra acestui obiectiv de mediu, luând în considerare atât efectele directe, cât și pe cele primare indirecte, de pe parcursul duratei de viață a investițiilor.</w:t>
                  </w:r>
                </w:p>
              </w:tc>
            </w:tr>
          </w:tbl>
          <w:p w14:paraId="7E7D99FA"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29EFE754"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19C09332"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04DD01D6"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5B15C1CA"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0FE99BD7" w14:textId="77777777" w:rsidR="00E922EF" w:rsidRPr="004506DA" w:rsidRDefault="00E922EF" w:rsidP="008138C6">
            <w:pPr>
              <w:spacing w:after="0" w:line="240" w:lineRule="auto"/>
              <w:jc w:val="both"/>
              <w:rPr>
                <w:rFonts w:ascii="Times New Roman" w:eastAsia="Times New Roman" w:hAnsi="Times New Roman" w:cs="Times New Roman"/>
                <w:color w:val="000000"/>
                <w:sz w:val="16"/>
                <w:szCs w:val="16"/>
                <w:lang w:val="ro-RO"/>
              </w:rPr>
            </w:pPr>
          </w:p>
          <w:p w14:paraId="6915EB47" w14:textId="77777777" w:rsidR="00B270AF" w:rsidRPr="004506DA" w:rsidRDefault="00B270AF" w:rsidP="008138C6">
            <w:pPr>
              <w:spacing w:after="0" w:line="240" w:lineRule="auto"/>
              <w:jc w:val="both"/>
              <w:rPr>
                <w:rFonts w:ascii="Times New Roman" w:eastAsia="Times New Roman" w:hAnsi="Times New Roman" w:cs="Times New Roman"/>
                <w:color w:val="000000"/>
                <w:sz w:val="16"/>
                <w:szCs w:val="16"/>
                <w:lang w:val="ro-RO"/>
              </w:rPr>
            </w:pPr>
          </w:p>
        </w:tc>
      </w:tr>
      <w:tr w:rsidR="00DA61D5" w:rsidRPr="004506DA" w14:paraId="253F0139" w14:textId="77777777" w:rsidTr="008138C6">
        <w:trPr>
          <w:trHeight w:val="3405"/>
        </w:trPr>
        <w:tc>
          <w:tcPr>
            <w:tcW w:w="21591" w:type="dxa"/>
            <w:gridSpan w:val="2"/>
            <w:tcBorders>
              <w:top w:val="nil"/>
              <w:left w:val="nil"/>
              <w:bottom w:val="nil"/>
              <w:right w:val="nil"/>
            </w:tcBorders>
            <w:hideMark/>
          </w:tcPr>
          <w:p w14:paraId="7A2B8841" w14:textId="77777777" w:rsidR="00DA61D5" w:rsidRPr="004506DA" w:rsidRDefault="00DA61D5" w:rsidP="008138C6">
            <w:pPr>
              <w:spacing w:after="0" w:line="240" w:lineRule="auto"/>
              <w:jc w:val="both"/>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lastRenderedPageBreak/>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4506DA" w:rsidRDefault="00DA61D5" w:rsidP="008138C6">
            <w:pPr>
              <w:spacing w:after="0" w:line="240" w:lineRule="auto"/>
              <w:ind w:left="345"/>
              <w:jc w:val="both"/>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4506DA" w:rsidRDefault="00DA61D5" w:rsidP="008138C6">
            <w:pPr>
              <w:spacing w:after="0" w:line="240" w:lineRule="auto"/>
              <w:ind w:left="345"/>
              <w:jc w:val="both"/>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7777777" w:rsidR="00DA61D5" w:rsidRPr="004506DA" w:rsidRDefault="00DA61D5" w:rsidP="008138C6">
            <w:pPr>
              <w:spacing w:after="0" w:line="240" w:lineRule="auto"/>
              <w:ind w:left="345"/>
              <w:jc w:val="both"/>
              <w:rPr>
                <w:rFonts w:ascii="Times New Roman" w:eastAsia="Times New Roman" w:hAnsi="Times New Roman" w:cs="Times New Roman"/>
                <w:color w:val="000000"/>
                <w:sz w:val="24"/>
                <w:szCs w:val="24"/>
                <w:lang w:val="ro-RO"/>
              </w:rPr>
            </w:pPr>
            <w:r w:rsidRPr="004506DA">
              <w:rPr>
                <w:rFonts w:ascii="Times New Roman" w:eastAsia="Times New Roman" w:hAnsi="Times New Roman" w:cs="Times New Roman"/>
                <w:color w:val="000000"/>
                <w:sz w:val="24"/>
                <w:szCs w:val="24"/>
                <w:lang w:val="ro-RO"/>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p w14:paraId="19FD4326" w14:textId="77777777" w:rsidR="00DA61D5" w:rsidRPr="004506DA" w:rsidRDefault="00DA61D5" w:rsidP="008138C6">
            <w:pPr>
              <w:spacing w:after="0" w:line="240" w:lineRule="auto"/>
              <w:ind w:left="345"/>
              <w:jc w:val="both"/>
              <w:rPr>
                <w:rFonts w:ascii="Times New Roman" w:eastAsia="Times New Roman" w:hAnsi="Times New Roman" w:cs="Times New Roman"/>
                <w:color w:val="000000"/>
                <w:sz w:val="24"/>
                <w:szCs w:val="24"/>
                <w:lang w:val="ro-RO"/>
              </w:rPr>
            </w:pPr>
          </w:p>
          <w:p w14:paraId="2405B623" w14:textId="77777777" w:rsidR="00DA61D5" w:rsidRPr="004506DA" w:rsidRDefault="00DA61D5" w:rsidP="008138C6">
            <w:pPr>
              <w:spacing w:after="0" w:line="240" w:lineRule="auto"/>
              <w:ind w:left="345"/>
              <w:jc w:val="both"/>
              <w:rPr>
                <w:rFonts w:ascii="Times New Roman" w:eastAsia="Times New Roman" w:hAnsi="Times New Roman" w:cs="Times New Roman"/>
                <w:color w:val="000000"/>
                <w:sz w:val="24"/>
                <w:szCs w:val="24"/>
                <w:lang w:val="ro-RO"/>
              </w:rPr>
            </w:pPr>
          </w:p>
          <w:p w14:paraId="0A293270" w14:textId="77777777" w:rsidR="00DA61D5" w:rsidRPr="004506DA" w:rsidRDefault="00DA61D5" w:rsidP="008138C6">
            <w:pPr>
              <w:spacing w:after="0" w:line="240" w:lineRule="auto"/>
              <w:jc w:val="both"/>
              <w:rPr>
                <w:rFonts w:ascii="Times New Roman" w:eastAsia="Times New Roman" w:hAnsi="Times New Roman" w:cs="Times New Roman"/>
                <w:color w:val="000000"/>
                <w:sz w:val="24"/>
                <w:szCs w:val="24"/>
                <w:lang w:val="ro-RO"/>
              </w:rPr>
            </w:pPr>
          </w:p>
          <w:p w14:paraId="69809E5E" w14:textId="77777777" w:rsidR="00DA61D5" w:rsidRPr="004506DA" w:rsidRDefault="00DA61D5" w:rsidP="008138C6">
            <w:pPr>
              <w:spacing w:after="0" w:line="240" w:lineRule="auto"/>
              <w:jc w:val="both"/>
              <w:rPr>
                <w:rFonts w:ascii="Times New Roman" w:eastAsia="Times New Roman" w:hAnsi="Times New Roman" w:cs="Times New Roman"/>
                <w:color w:val="000000"/>
                <w:sz w:val="24"/>
                <w:szCs w:val="24"/>
                <w:lang w:val="ro-RO"/>
              </w:rPr>
            </w:pPr>
          </w:p>
          <w:p w14:paraId="06487862" w14:textId="77777777" w:rsidR="00DA61D5" w:rsidRPr="004506DA" w:rsidRDefault="00DA61D5" w:rsidP="008138C6">
            <w:pPr>
              <w:spacing w:after="0" w:line="240" w:lineRule="auto"/>
              <w:jc w:val="both"/>
              <w:rPr>
                <w:rFonts w:ascii="Times New Roman" w:eastAsia="Times New Roman" w:hAnsi="Times New Roman" w:cs="Times New Roman"/>
                <w:color w:val="000000"/>
                <w:sz w:val="24"/>
                <w:szCs w:val="24"/>
                <w:lang w:val="ro-RO"/>
              </w:rPr>
            </w:pPr>
          </w:p>
        </w:tc>
      </w:tr>
    </w:tbl>
    <w:p w14:paraId="7D1EB554" w14:textId="77777777" w:rsidR="00AE0342" w:rsidRPr="004506DA" w:rsidRDefault="00AE0342" w:rsidP="008138C6">
      <w:pPr>
        <w:spacing w:after="0" w:line="240" w:lineRule="auto"/>
        <w:rPr>
          <w:rFonts w:ascii="Times New Roman" w:eastAsia="Times New Roman" w:hAnsi="Times New Roman" w:cs="Times New Roman"/>
          <w:color w:val="000000"/>
          <w:sz w:val="24"/>
          <w:szCs w:val="24"/>
          <w:lang w:val="ro-RO"/>
        </w:rPr>
      </w:pPr>
    </w:p>
    <w:sectPr w:rsidR="00AE0342" w:rsidRPr="004506DA" w:rsidSect="00524E20">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0A95E" w14:textId="77777777" w:rsidR="001B5753" w:rsidRDefault="001B5753" w:rsidP="00524E20">
      <w:pPr>
        <w:spacing w:after="0" w:line="240" w:lineRule="auto"/>
      </w:pPr>
      <w:r>
        <w:separator/>
      </w:r>
    </w:p>
  </w:endnote>
  <w:endnote w:type="continuationSeparator" w:id="0">
    <w:p w14:paraId="36BF45BC" w14:textId="77777777" w:rsidR="001B5753" w:rsidRDefault="001B5753"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511D" w14:textId="77777777" w:rsidR="009062CE" w:rsidRDefault="0090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0D28" w14:textId="77777777" w:rsidR="009062CE" w:rsidRDefault="00906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66B6" w14:textId="77777777" w:rsidR="009062CE" w:rsidRDefault="0090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6BF49" w14:textId="77777777" w:rsidR="001B5753" w:rsidRDefault="001B5753" w:rsidP="00524E20">
      <w:pPr>
        <w:spacing w:after="0" w:line="240" w:lineRule="auto"/>
      </w:pPr>
      <w:r>
        <w:separator/>
      </w:r>
    </w:p>
  </w:footnote>
  <w:footnote w:type="continuationSeparator" w:id="0">
    <w:p w14:paraId="0AC842E6" w14:textId="77777777" w:rsidR="001B5753" w:rsidRDefault="001B5753" w:rsidP="00524E20">
      <w:pPr>
        <w:spacing w:after="0" w:line="240" w:lineRule="auto"/>
      </w:pPr>
      <w:r>
        <w:continuationSeparator/>
      </w:r>
    </w:p>
  </w:footnote>
  <w:footnote w:id="1">
    <w:p w14:paraId="7E526CA5" w14:textId="77777777" w:rsidR="008E2349" w:rsidRDefault="008E2349" w:rsidP="00782632">
      <w:pPr>
        <w:pStyle w:val="FootnoteText"/>
        <w:jc w:val="both"/>
      </w:pPr>
      <w:r>
        <w:rPr>
          <w:rStyle w:val="FootnoteReference"/>
        </w:rPr>
        <w:footnoteRef/>
      </w:r>
      <w:r>
        <w:t xml:space="preserve"> </w:t>
      </w:r>
      <w:r w:rsidRPr="0035038F">
        <w:t>Se va face trimitere atât la documentația proiectului/documentația EIM, cât și la pagina unde sunt prezentate informațiile solicitate.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D3AB" w14:textId="77777777" w:rsidR="009062CE" w:rsidRDefault="0090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2E86082" w:rsidR="00561147" w:rsidRPr="00EC0CC4" w:rsidRDefault="009062CE" w:rsidP="009062CE">
          <w:pPr>
            <w:pStyle w:val="Header"/>
            <w:spacing w:line="276" w:lineRule="auto"/>
            <w:jc w:val="center"/>
            <w:rPr>
              <w:rFonts w:ascii="Times New Roman" w:hAnsi="Times New Roman"/>
              <w:b/>
              <w:lang w:val="en-US"/>
            </w:rPr>
          </w:pPr>
          <w:r w:rsidRPr="009062CE">
            <w:rPr>
              <w:rFonts w:ascii="Calibri" w:eastAsia="Calibri" w:hAnsi="Calibri" w:cs="Calibri"/>
              <w:noProof/>
            </w:rPr>
            <w:drawing>
              <wp:inline distT="0" distB="0" distL="0" distR="0" wp14:anchorId="57CB5403" wp14:editId="2E62C9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5B9BD5" w:themeColor="accent1"/>
          </w:tcBorders>
        </w:tcPr>
        <w:p w14:paraId="3862B782" w14:textId="468A4206" w:rsidR="00561147" w:rsidRPr="00EC0CC4" w:rsidRDefault="00561147" w:rsidP="00561147">
          <w:pPr>
            <w:pStyle w:val="Header"/>
            <w:spacing w:line="276" w:lineRule="auto"/>
            <w:rPr>
              <w:rFonts w:ascii="Times New Roman" w:hAnsi="Times New Roman"/>
              <w:b/>
              <w:color w:val="5B9BD5" w:themeColor="accent1"/>
            </w:rPr>
          </w:pPr>
        </w:p>
      </w:tc>
    </w:tr>
  </w:tbl>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F252" w14:textId="77777777" w:rsidR="009062CE" w:rsidRDefault="0090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F581C"/>
    <w:multiLevelType w:val="hybridMultilevel"/>
    <w:tmpl w:val="6BF87DE0"/>
    <w:lvl w:ilvl="0" w:tplc="62C6E3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103C3"/>
    <w:multiLevelType w:val="hybridMultilevel"/>
    <w:tmpl w:val="CAFE1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B901F8"/>
    <w:multiLevelType w:val="hybridMultilevel"/>
    <w:tmpl w:val="448C11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0C438B"/>
    <w:multiLevelType w:val="hybridMultilevel"/>
    <w:tmpl w:val="C52265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2"/>
  </w:num>
  <w:num w:numId="2" w16cid:durableId="609896242">
    <w:abstractNumId w:val="5"/>
  </w:num>
  <w:num w:numId="3" w16cid:durableId="1408921095">
    <w:abstractNumId w:val="3"/>
  </w:num>
  <w:num w:numId="4" w16cid:durableId="1812941059">
    <w:abstractNumId w:val="4"/>
  </w:num>
  <w:num w:numId="5" w16cid:durableId="452596517">
    <w:abstractNumId w:val="1"/>
  </w:num>
  <w:num w:numId="6" w16cid:durableId="583690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14B0A"/>
    <w:rsid w:val="00055075"/>
    <w:rsid w:val="000F6136"/>
    <w:rsid w:val="00124FF5"/>
    <w:rsid w:val="00132B12"/>
    <w:rsid w:val="001402C9"/>
    <w:rsid w:val="001B5753"/>
    <w:rsid w:val="002132D3"/>
    <w:rsid w:val="002C5ABE"/>
    <w:rsid w:val="002D05E0"/>
    <w:rsid w:val="002E78F0"/>
    <w:rsid w:val="0034521A"/>
    <w:rsid w:val="003B1299"/>
    <w:rsid w:val="003C2652"/>
    <w:rsid w:val="003D6596"/>
    <w:rsid w:val="004200BD"/>
    <w:rsid w:val="00420304"/>
    <w:rsid w:val="004506DA"/>
    <w:rsid w:val="004645A0"/>
    <w:rsid w:val="004A4362"/>
    <w:rsid w:val="004C1880"/>
    <w:rsid w:val="00503275"/>
    <w:rsid w:val="005072CF"/>
    <w:rsid w:val="00524E20"/>
    <w:rsid w:val="00561147"/>
    <w:rsid w:val="006C4534"/>
    <w:rsid w:val="006E08AB"/>
    <w:rsid w:val="006E193C"/>
    <w:rsid w:val="00756DB4"/>
    <w:rsid w:val="00760D00"/>
    <w:rsid w:val="007907C6"/>
    <w:rsid w:val="007E14DD"/>
    <w:rsid w:val="008138C6"/>
    <w:rsid w:val="008E2349"/>
    <w:rsid w:val="008F149F"/>
    <w:rsid w:val="008F64B0"/>
    <w:rsid w:val="0090152A"/>
    <w:rsid w:val="009062CE"/>
    <w:rsid w:val="00925B3A"/>
    <w:rsid w:val="00926BC1"/>
    <w:rsid w:val="009530F8"/>
    <w:rsid w:val="00981583"/>
    <w:rsid w:val="00994DFE"/>
    <w:rsid w:val="009E4998"/>
    <w:rsid w:val="00A42401"/>
    <w:rsid w:val="00A46787"/>
    <w:rsid w:val="00A773BB"/>
    <w:rsid w:val="00AE0342"/>
    <w:rsid w:val="00B270AF"/>
    <w:rsid w:val="00B27726"/>
    <w:rsid w:val="00B30C20"/>
    <w:rsid w:val="00B51686"/>
    <w:rsid w:val="00B82C0E"/>
    <w:rsid w:val="00BF50CF"/>
    <w:rsid w:val="00BF5B36"/>
    <w:rsid w:val="00D86055"/>
    <w:rsid w:val="00D869EC"/>
    <w:rsid w:val="00DA039B"/>
    <w:rsid w:val="00DA61D5"/>
    <w:rsid w:val="00E33BDC"/>
    <w:rsid w:val="00E61A29"/>
    <w:rsid w:val="00E62A4D"/>
    <w:rsid w:val="00E6522F"/>
    <w:rsid w:val="00E87C03"/>
    <w:rsid w:val="00E922EF"/>
    <w:rsid w:val="00EC0CC4"/>
    <w:rsid w:val="00EE0272"/>
    <w:rsid w:val="00F31D4B"/>
    <w:rsid w:val="00F41EE4"/>
    <w:rsid w:val="00F42623"/>
    <w:rsid w:val="00FA1D0A"/>
    <w:rsid w:val="00FA2AF9"/>
    <w:rsid w:val="00FA5A9D"/>
    <w:rsid w:val="00FC0C1A"/>
    <w:rsid w:val="00FC4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2EF"/>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customStyle="1" w:styleId="Default">
    <w:name w:val="Default"/>
    <w:rsid w:val="00B270AF"/>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2E78F0"/>
    <w:pPr>
      <w:spacing w:after="0" w:line="240" w:lineRule="auto"/>
    </w:pPr>
  </w:style>
  <w:style w:type="character" w:styleId="CommentReference">
    <w:name w:val="annotation reference"/>
    <w:basedOn w:val="DefaultParagraphFont"/>
    <w:uiPriority w:val="99"/>
    <w:semiHidden/>
    <w:unhideWhenUsed/>
    <w:rsid w:val="00EE0272"/>
    <w:rPr>
      <w:sz w:val="16"/>
      <w:szCs w:val="16"/>
    </w:rPr>
  </w:style>
  <w:style w:type="paragraph" w:styleId="CommentText">
    <w:name w:val="annotation text"/>
    <w:basedOn w:val="Normal"/>
    <w:link w:val="CommentTextChar"/>
    <w:uiPriority w:val="99"/>
    <w:unhideWhenUsed/>
    <w:rsid w:val="00EE0272"/>
    <w:pPr>
      <w:spacing w:line="240" w:lineRule="auto"/>
    </w:pPr>
    <w:rPr>
      <w:sz w:val="20"/>
      <w:szCs w:val="20"/>
    </w:rPr>
  </w:style>
  <w:style w:type="character" w:customStyle="1" w:styleId="CommentTextChar">
    <w:name w:val="Comment Text Char"/>
    <w:basedOn w:val="DefaultParagraphFont"/>
    <w:link w:val="CommentText"/>
    <w:uiPriority w:val="99"/>
    <w:rsid w:val="00EE0272"/>
    <w:rPr>
      <w:sz w:val="20"/>
      <w:szCs w:val="20"/>
    </w:rPr>
  </w:style>
  <w:style w:type="paragraph" w:styleId="CommentSubject">
    <w:name w:val="annotation subject"/>
    <w:basedOn w:val="CommentText"/>
    <w:next w:val="CommentText"/>
    <w:link w:val="CommentSubjectChar"/>
    <w:uiPriority w:val="99"/>
    <w:semiHidden/>
    <w:unhideWhenUsed/>
    <w:rsid w:val="00EE0272"/>
    <w:rPr>
      <w:b/>
      <w:bCs/>
    </w:rPr>
  </w:style>
  <w:style w:type="character" w:customStyle="1" w:styleId="CommentSubjectChar">
    <w:name w:val="Comment Subject Char"/>
    <w:basedOn w:val="CommentTextChar"/>
    <w:link w:val="CommentSubject"/>
    <w:uiPriority w:val="99"/>
    <w:semiHidden/>
    <w:rsid w:val="00EE0272"/>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Plonk"/>
    <w:basedOn w:val="Normal"/>
    <w:link w:val="FootnoteTextChar"/>
    <w:unhideWhenUsed/>
    <w:qFormat/>
    <w:rsid w:val="008E2349"/>
    <w:pPr>
      <w:spacing w:after="0" w:line="240" w:lineRule="auto"/>
    </w:pPr>
    <w:rPr>
      <w:sz w:val="20"/>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8E2349"/>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umber"/>
    <w:basedOn w:val="DefaultParagraphFont"/>
    <w:link w:val="BVIfnrChar1Char"/>
    <w:uiPriority w:val="99"/>
    <w:unhideWhenUsed/>
    <w:qFormat/>
    <w:rsid w:val="008E234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E2349"/>
    <w:pPr>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5421</Words>
  <Characters>30900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Brindusa Bordeianu</cp:lastModifiedBy>
  <cp:revision>7</cp:revision>
  <cp:lastPrinted>2025-12-10T09:13:00Z</cp:lastPrinted>
  <dcterms:created xsi:type="dcterms:W3CDTF">2025-12-09T14:53:00Z</dcterms:created>
  <dcterms:modified xsi:type="dcterms:W3CDTF">2025-12-18T10:07:00Z</dcterms:modified>
</cp:coreProperties>
</file>